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634" w:rsidRPr="005F4634" w:rsidRDefault="005F4634" w:rsidP="005F4634">
      <w:pPr>
        <w:pageBreakBefore/>
        <w:shd w:val="clear" w:color="auto" w:fill="002060"/>
        <w:spacing w:after="200" w:line="276" w:lineRule="auto"/>
        <w:ind w:right="-285"/>
        <w:jc w:val="center"/>
        <w:outlineLvl w:val="0"/>
        <w:rPr>
          <w:rFonts w:ascii="Calibri" w:eastAsia="SimSun" w:hAnsi="Calibri"/>
          <w:b/>
          <w:color w:val="FFFFFF"/>
        </w:rPr>
      </w:pPr>
      <w:r w:rsidRPr="005F4634">
        <w:rPr>
          <w:rFonts w:ascii="Calibri" w:eastAsia="SimSun" w:hAnsi="Calibri"/>
          <w:b/>
          <w:color w:val="FFFFFF"/>
          <w:u w:val="single"/>
        </w:rPr>
        <w:t>Target 6.4</w:t>
      </w:r>
      <w:r w:rsidRPr="005F4634">
        <w:rPr>
          <w:rFonts w:ascii="Calibri" w:eastAsia="SimSun" w:hAnsi="Calibri"/>
          <w:b/>
          <w:color w:val="FFFFFF"/>
        </w:rPr>
        <w:t xml:space="preserve"> </w:t>
      </w:r>
      <w:r w:rsidRPr="005F4634">
        <w:rPr>
          <w:rFonts w:ascii="Calibri" w:eastAsia="SimSun" w:hAnsi="Calibri"/>
          <w:b/>
          <w:color w:val="FFFFFF"/>
        </w:rPr>
        <w:br/>
        <w:t>“By 2030, substantially increase water-use efficiency across all sectors and ensure sustainable withdrawals and supply of freshwater to address water scarcity and substantially reduce the number of people suffering from water scarcity”</w:t>
      </w:r>
    </w:p>
    <w:p w:rsidR="005F4634" w:rsidRPr="005F4634" w:rsidRDefault="005F4634" w:rsidP="005F4634">
      <w:pPr>
        <w:spacing w:after="200" w:line="276" w:lineRule="auto"/>
        <w:ind w:right="-285"/>
        <w:jc w:val="both"/>
        <w:rPr>
          <w:rFonts w:ascii="Calibri" w:eastAsia="SimSun" w:hAnsi="Calibri"/>
          <w:i/>
          <w:sz w:val="22"/>
        </w:rPr>
      </w:pPr>
      <w:r w:rsidRPr="005F4634">
        <w:rPr>
          <w:rFonts w:ascii="Calibri" w:eastAsia="SimSun" w:hAnsi="Calibri"/>
          <w:i/>
          <w:sz w:val="22"/>
        </w:rPr>
        <w:t xml:space="preserve">While the SDGs are still in the process of being finalized, UN-Water has anticipated the need for a coherent monitoring framework to help member states to address all six targets of Goal 6, with improved data acquisition and the analysis needed to track progress and provide a platform for water and sanitation in the Post-2015 Development Agenda. In close collaboration with JMP and particularly focusing on the monitoring needs for the “new” targets within the SDG framework represented by 6.3 – 6.6, a monitoring initiative called GEMI (Integrated Monitoring of Water and Sanitation Related Targets) has therefore become operational under the UN-Water umbrella.  GEMI is an inter-agency initiative composed of the following UN-Water Members: United Nations Environment Programme (UNEP), the United Nations Human Settlements Programme (UN Habitat), the United Nations Children’s Fund (UNICEF), the Food and Agriculture Organization of the United Nations (FAO), the United Nations Educational, Scientific and Cultural Organization (UNESCO), the World Health Organization (WHO) and the World Meteorological Organization (WMO). </w:t>
      </w:r>
    </w:p>
    <w:p w:rsidR="005F4634" w:rsidRPr="005F4634" w:rsidRDefault="005F4634" w:rsidP="005F4634">
      <w:pPr>
        <w:spacing w:after="200" w:line="276" w:lineRule="auto"/>
        <w:ind w:right="-285"/>
        <w:jc w:val="both"/>
        <w:rPr>
          <w:rFonts w:ascii="Calibri" w:eastAsia="SimSun" w:hAnsi="Calibri"/>
          <w:i/>
          <w:sz w:val="22"/>
        </w:rPr>
      </w:pPr>
      <w:r w:rsidRPr="005F4634">
        <w:rPr>
          <w:rFonts w:ascii="Calibri" w:eastAsia="SimSun" w:hAnsi="Calibri"/>
          <w:i/>
          <w:sz w:val="22"/>
        </w:rPr>
        <w:t xml:space="preserve">In the context of the GEMI monitoring initiative under the UN-Water umbrella, FAO will maintain two indicators to monitor target 6.4, one focusing on the sustainability aspect of water stress level, and the other on water use efficiency. </w:t>
      </w:r>
    </w:p>
    <w:p w:rsidR="005F4634" w:rsidRPr="005F4634" w:rsidRDefault="005F4634" w:rsidP="005F4634">
      <w:pPr>
        <w:shd w:val="clear" w:color="auto" w:fill="FFFFFF"/>
        <w:tabs>
          <w:tab w:val="left" w:pos="0"/>
        </w:tabs>
        <w:suppressAutoHyphens/>
        <w:spacing w:after="200" w:line="264" w:lineRule="auto"/>
        <w:ind w:right="-284"/>
        <w:jc w:val="both"/>
        <w:rPr>
          <w:rFonts w:ascii="Calibri" w:eastAsia="SimSun" w:hAnsi="Calibri"/>
          <w:i/>
          <w:color w:val="00000A"/>
          <w:sz w:val="22"/>
        </w:rPr>
      </w:pPr>
      <w:r w:rsidRPr="005F4634">
        <w:rPr>
          <w:rFonts w:ascii="Calibri" w:eastAsia="SimSun" w:hAnsi="Calibri"/>
          <w:i/>
          <w:color w:val="00000A"/>
          <w:sz w:val="22"/>
        </w:rPr>
        <w:t>With this context in mind, FAO is highly concerned that UNSD’s preliminary list of May determined only one priority indicator for this target, down from two in its February list. Target 6.4 addresses both water-use efficiency and sustainable withdrawals, and both elements cannot be subsumed under one sole indicator. Moreover, this choice appears to be superficially linked to the particular order of these elements in the target (efficiency appears before withdrawals), even though there is no objective reason to assume a prioritization between the two on this basis.</w:t>
      </w:r>
    </w:p>
    <w:p w:rsidR="005F4634" w:rsidRPr="005F4634" w:rsidRDefault="005F4634" w:rsidP="005F4634">
      <w:pPr>
        <w:spacing w:after="200" w:line="276" w:lineRule="auto"/>
        <w:ind w:right="-285"/>
        <w:jc w:val="both"/>
        <w:rPr>
          <w:rFonts w:ascii="Calibri" w:eastAsia="SimSun" w:hAnsi="Calibri"/>
          <w:i/>
          <w:sz w:val="22"/>
        </w:rPr>
      </w:pPr>
    </w:p>
    <w:p w:rsidR="005F4634" w:rsidRPr="005F4634" w:rsidRDefault="005F4634" w:rsidP="005F4634">
      <w:pPr>
        <w:rPr>
          <w:rFonts w:ascii="Calibri" w:eastAsia="SimSun" w:hAnsi="Calibri"/>
          <w:b/>
          <w:color w:val="0000FF"/>
          <w:u w:val="single"/>
        </w:rPr>
      </w:pPr>
      <w:bookmarkStart w:id="0" w:name="Indicator_6_4_1"/>
      <w:r w:rsidRPr="005F4634">
        <w:rPr>
          <w:rFonts w:ascii="Calibri" w:eastAsia="SimSun" w:hAnsi="Calibri"/>
          <w:b/>
          <w:color w:val="0000FF"/>
          <w:u w:val="single"/>
        </w:rPr>
        <w:br w:type="page"/>
      </w:r>
    </w:p>
    <w:p w:rsidR="005F4634" w:rsidRPr="005F4634" w:rsidRDefault="005F4634" w:rsidP="005F4634">
      <w:pPr>
        <w:shd w:val="clear" w:color="auto" w:fill="99FF99"/>
        <w:spacing w:after="200" w:line="276" w:lineRule="auto"/>
        <w:ind w:right="-285"/>
        <w:jc w:val="center"/>
        <w:rPr>
          <w:rFonts w:ascii="Calibri" w:eastAsia="SimSun" w:hAnsi="Calibri"/>
          <w:color w:val="auto"/>
          <w:sz w:val="22"/>
          <w:szCs w:val="22"/>
        </w:rPr>
      </w:pPr>
      <w:r w:rsidRPr="005F4634">
        <w:rPr>
          <w:rFonts w:ascii="Calibri" w:eastAsia="SimSun" w:hAnsi="Calibri"/>
          <w:b/>
          <w:color w:val="auto"/>
        </w:rPr>
        <w:lastRenderedPageBreak/>
        <w:t>Indicator 6.4.1</w:t>
      </w:r>
      <w:r w:rsidRPr="005F4634">
        <w:rPr>
          <w:rFonts w:ascii="Calibri" w:eastAsia="SimSun" w:hAnsi="Calibri"/>
          <w:b/>
          <w:color w:val="auto"/>
        </w:rPr>
        <w:br/>
      </w:r>
      <w:bookmarkEnd w:id="0"/>
      <w:r w:rsidRPr="005F4634">
        <w:rPr>
          <w:rFonts w:ascii="Calibri" w:eastAsia="SimSun" w:hAnsi="Calibri"/>
          <w:b/>
          <w:color w:val="auto"/>
        </w:rPr>
        <w:t>“</w:t>
      </w:r>
      <w:r w:rsidRPr="005F4634">
        <w:rPr>
          <w:rFonts w:ascii="Calibri" w:eastAsia="SimSun" w:hAnsi="Calibri"/>
          <w:color w:val="auto"/>
          <w:shd w:val="clear" w:color="auto" w:fill="99FF99"/>
        </w:rPr>
        <w:t>Percentage of total available water resources used, taking environmental water requirements into account (Level of Water Stress</w:t>
      </w:r>
      <w:r w:rsidRPr="005F4634">
        <w:rPr>
          <w:rFonts w:ascii="Calibri" w:eastAsia="SimSun" w:hAnsi="Calibri"/>
          <w:color w:val="auto"/>
          <w:shd w:val="clear" w:color="auto" w:fill="24DC6A"/>
        </w:rPr>
        <w:t>)</w:t>
      </w:r>
      <w:r w:rsidRPr="005F4634">
        <w:rPr>
          <w:rFonts w:ascii="Calibri" w:eastAsia="SimSun" w:hAnsi="Calibri"/>
          <w:b/>
          <w:color w:val="auto"/>
        </w:rPr>
        <w:t>”</w:t>
      </w:r>
    </w:p>
    <w:p w:rsidR="005F4634" w:rsidRPr="005F4634" w:rsidRDefault="005F4634" w:rsidP="005F4634">
      <w:pPr>
        <w:spacing w:after="200" w:line="276" w:lineRule="auto"/>
        <w:ind w:right="-285"/>
        <w:jc w:val="both"/>
        <w:rPr>
          <w:rFonts w:ascii="Calibri" w:eastAsia="SimSun" w:hAnsi="Calibri"/>
          <w:b/>
          <w:color w:val="auto"/>
          <w:lang w:eastAsia="en-GB"/>
        </w:rPr>
      </w:pPr>
    </w:p>
    <w:tbl>
      <w:tblPr>
        <w:tblStyle w:val="TableGrid"/>
        <w:tblW w:w="9464" w:type="dxa"/>
        <w:tblLook w:val="04A0" w:firstRow="1" w:lastRow="0" w:firstColumn="1" w:lastColumn="0" w:noHBand="0" w:noVBand="1"/>
      </w:tblPr>
      <w:tblGrid>
        <w:gridCol w:w="2079"/>
        <w:gridCol w:w="7385"/>
      </w:tblGrid>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t>Definition and method of computation</w:t>
            </w:r>
          </w:p>
        </w:tc>
        <w:tc>
          <w:tcPr>
            <w:tcW w:w="7385" w:type="dxa"/>
          </w:tcPr>
          <w:p w:rsidR="005F4634" w:rsidRPr="005F4634" w:rsidRDefault="005F4634" w:rsidP="005F4634">
            <w:pPr>
              <w:suppressAutoHyphens/>
              <w:spacing w:after="200" w:line="276" w:lineRule="auto"/>
              <w:rPr>
                <w:rFonts w:ascii="Calibri" w:hAnsi="Calibri"/>
                <w:b/>
                <w:sz w:val="20"/>
                <w:szCs w:val="20"/>
              </w:rPr>
            </w:pPr>
            <w:r w:rsidRPr="005F4634">
              <w:rPr>
                <w:rFonts w:ascii="Calibri" w:hAnsi="Calibri"/>
                <w:b/>
                <w:sz w:val="20"/>
                <w:szCs w:val="20"/>
              </w:rPr>
              <w:t xml:space="preserve">Level of water stress: Freshwater withdrawal in percentage of available freshwater resources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b/>
                <w:sz w:val="20"/>
                <w:szCs w:val="20"/>
              </w:rPr>
              <w:t>Definition:</w:t>
            </w:r>
            <w:r w:rsidRPr="005F4634">
              <w:rPr>
                <w:rFonts w:ascii="Calibri" w:hAnsi="Calibri"/>
                <w:sz w:val="20"/>
                <w:szCs w:val="20"/>
              </w:rPr>
              <w:t xml:space="preserve"> </w:t>
            </w:r>
            <w:r w:rsidRPr="005F4634">
              <w:rPr>
                <w:rFonts w:ascii="Calibri" w:hAnsi="Calibri"/>
                <w:color w:val="00000A"/>
                <w:sz w:val="20"/>
                <w:szCs w:val="20"/>
              </w:rPr>
              <w:t xml:space="preserve">the ratio between total water withdrawn by all sectors (agriculture, industry, cities) and total renewable freshwater resources, after having taken into account environmental water requirements. This indicator is also known as water withdrawal intensity.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The indicator builds on MDG indicator 7.5 and also accounts for environmental water requirements and includes both groundwater and surface water withdrawals.</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b/>
                <w:sz w:val="20"/>
                <w:szCs w:val="20"/>
              </w:rPr>
              <w:t>Concepts:</w:t>
            </w:r>
            <w:r w:rsidRPr="005F4634">
              <w:rPr>
                <w:rFonts w:ascii="Calibri" w:hAnsi="Calibri"/>
                <w:sz w:val="20"/>
                <w:szCs w:val="20"/>
              </w:rPr>
              <w:t xml:space="preserve"> This indicator provides an estimate of pressure by all sectors on the country’s renewable freshwater resources. A low level of water stress indicates a situation where the combined withdrawal by all sectors is marginal in relation to the resources, and has therefore little potential impact on the sustainability of the resources or on the potential competition between users. A high level of water stress indicates a situation where the combined withdrawal by all sectors represents a substantial share of the total renewable freshwater resources, with potentially larger impacts on the sustainability of the resources and potential situations of conflicts and competition between users.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i/>
                <w:sz w:val="20"/>
                <w:szCs w:val="20"/>
              </w:rPr>
              <w:t>Total renewable freshwater resources</w:t>
            </w:r>
            <w:r w:rsidRPr="005F4634">
              <w:rPr>
                <w:rFonts w:ascii="Calibri" w:hAnsi="Calibri"/>
                <w:sz w:val="20"/>
                <w:szCs w:val="20"/>
              </w:rPr>
              <w:t xml:space="preserve"> are expressed as the sum of internal and external renewable water resources. The terms “water resources” and “water withdrawal” are understood here as freshwater resources and freshwater withdrawal.</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i/>
                <w:sz w:val="20"/>
                <w:szCs w:val="20"/>
              </w:rPr>
              <w:t>Internal renewable water resources</w:t>
            </w:r>
            <w:r w:rsidRPr="005F4634">
              <w:rPr>
                <w:rFonts w:ascii="Calibri" w:hAnsi="Calibri"/>
                <w:sz w:val="20"/>
                <w:szCs w:val="20"/>
              </w:rPr>
              <w:t xml:space="preserve"> are defined as the long-term average annual flow of rivers and recharge of groundwater for a given country generated from endogenous precipitation.</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i/>
                <w:sz w:val="20"/>
                <w:szCs w:val="20"/>
              </w:rPr>
              <w:t>External renewable water resources</w:t>
            </w:r>
            <w:r w:rsidRPr="005F4634">
              <w:rPr>
                <w:rFonts w:ascii="Calibri" w:hAnsi="Calibri"/>
                <w:sz w:val="20"/>
                <w:szCs w:val="20"/>
              </w:rPr>
              <w:t xml:space="preserve"> refer to the flows of water entering the country, taking into consideration the quantity of flows reserved to upstream and downstream countries through agreements or treaties (and, where available, the reduction of flow due to upstream withdrawal).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i/>
                <w:sz w:val="20"/>
                <w:szCs w:val="20"/>
              </w:rPr>
              <w:t>Freshwater withdrawal</w:t>
            </w:r>
            <w:r w:rsidRPr="005F4634">
              <w:rPr>
                <w:rFonts w:ascii="Calibri" w:hAnsi="Calibri"/>
                <w:sz w:val="20"/>
                <w:szCs w:val="20"/>
              </w:rPr>
              <w:t xml:space="preserve"> is the volume of freshwater extracted from its source (rivers, lakes, aquifers) for agriculture, industries and municipalities. It is estimated at the country level for the following three main sectors: agriculture, municipalities (including domestic water withdrawal) and industries. Freshwater withdrawal includes primary freshwater (not withdrawn before), secondary freshwater (previously withdrawn and returned to rivers and groundwater) and fossil groundwater. It does not include non-conventional water, i.e. direct use of treated wastewater, direct use of agricultural drainage water and desalinated water. Total freshwater withdrawal is in general calculated as being the sum of total water withdrawal by sector minus direct use of wastewater, direct use of agricultural drainage water and use of desalinated water.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lastRenderedPageBreak/>
              <w:t xml:space="preserve"> </w:t>
            </w:r>
            <w:r w:rsidRPr="005F4634">
              <w:rPr>
                <w:rFonts w:ascii="Calibri" w:hAnsi="Calibri"/>
                <w:i/>
                <w:sz w:val="20"/>
                <w:szCs w:val="20"/>
              </w:rPr>
              <w:t xml:space="preserve">Environmental water requirements </w:t>
            </w:r>
            <w:r w:rsidRPr="005F4634">
              <w:rPr>
                <w:rFonts w:ascii="Calibri" w:hAnsi="Calibri"/>
                <w:sz w:val="20"/>
                <w:szCs w:val="20"/>
              </w:rPr>
              <w:t>(</w:t>
            </w:r>
            <w:proofErr w:type="spellStart"/>
            <w:r w:rsidRPr="005F4634">
              <w:rPr>
                <w:rFonts w:ascii="Calibri" w:hAnsi="Calibri"/>
                <w:sz w:val="20"/>
                <w:szCs w:val="20"/>
              </w:rPr>
              <w:t>Env</w:t>
            </w:r>
            <w:proofErr w:type="spellEnd"/>
            <w:r w:rsidRPr="005F4634">
              <w:rPr>
                <w:rFonts w:ascii="Calibri" w:hAnsi="Calibri"/>
                <w:sz w:val="20"/>
                <w:szCs w:val="20"/>
              </w:rPr>
              <w:t xml:space="preserve">.) are established in order to protect the basic environmental services of freshwater ecosystems. Methods of computation of environmental water requirements are extremely variable. For the purpose of the SDG indicator, environmental water requirements are expressed as a percentage of the available water resources.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More details on method of calculation of the above variables can be found at http://www.fao.org/nr/water/aquastat/water_res/index.stm or http://www.fao.org/nr/water/aquastat/data/wrs/readPdf.html?f=AFG-WRS_eng.pdf.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b/>
                <w:sz w:val="20"/>
                <w:szCs w:val="20"/>
              </w:rPr>
              <w:t xml:space="preserve">Method of computation: </w:t>
            </w:r>
            <w:r w:rsidRPr="005F4634">
              <w:rPr>
                <w:rFonts w:ascii="Calibri" w:hAnsi="Calibri"/>
                <w:sz w:val="20"/>
                <w:szCs w:val="20"/>
              </w:rPr>
              <w:t>The indicator is computed as the total freshwater withdrawn (TWW) divided by the difference between the total renewable water resources (TRWR) and the environmental water requirements (</w:t>
            </w:r>
            <w:proofErr w:type="spellStart"/>
            <w:r w:rsidRPr="005F4634">
              <w:rPr>
                <w:rFonts w:ascii="Calibri" w:hAnsi="Calibri"/>
                <w:sz w:val="20"/>
                <w:szCs w:val="20"/>
              </w:rPr>
              <w:t>Env</w:t>
            </w:r>
            <w:proofErr w:type="spellEnd"/>
            <w:r w:rsidRPr="005F4634">
              <w:rPr>
                <w:rFonts w:ascii="Calibri" w:hAnsi="Calibri"/>
                <w:sz w:val="20"/>
                <w:szCs w:val="20"/>
              </w:rPr>
              <w:t>.), multiplied by 100. All variables are expressed in km3/year (10^9 m3/year).</w:t>
            </w:r>
          </w:p>
          <w:p w:rsidR="005F4634" w:rsidRPr="005F4634" w:rsidRDefault="005F4634" w:rsidP="005F4634">
            <w:pPr>
              <w:suppressAutoHyphens/>
              <w:spacing w:after="200" w:line="276" w:lineRule="auto"/>
              <w:rPr>
                <w:rFonts w:ascii="Calibri" w:hAnsi="Calibri"/>
                <w:sz w:val="20"/>
                <w:szCs w:val="20"/>
              </w:rPr>
            </w:pPr>
            <m:oMathPara>
              <m:oMath>
                <m:r>
                  <w:rPr>
                    <w:rFonts w:ascii="Cambria Math" w:hAnsi="Cambria Math"/>
                    <w:sz w:val="20"/>
                    <w:szCs w:val="20"/>
                  </w:rPr>
                  <m:t>Stress (%)=</m:t>
                </m:r>
                <m:f>
                  <m:fPr>
                    <m:ctrlPr>
                      <w:rPr>
                        <w:rFonts w:ascii="Cambria Math" w:hAnsi="Cambria Math"/>
                        <w:i/>
                        <w:sz w:val="20"/>
                        <w:szCs w:val="20"/>
                      </w:rPr>
                    </m:ctrlPr>
                  </m:fPr>
                  <m:num>
                    <m:r>
                      <w:rPr>
                        <w:rFonts w:ascii="Cambria Math" w:hAnsi="Cambria Math"/>
                        <w:sz w:val="20"/>
                        <w:szCs w:val="20"/>
                      </w:rPr>
                      <m:t>TWW</m:t>
                    </m:r>
                  </m:num>
                  <m:den>
                    <m:r>
                      <w:rPr>
                        <w:rFonts w:ascii="Cambria Math" w:hAnsi="Cambria Math"/>
                        <w:sz w:val="20"/>
                        <w:szCs w:val="20"/>
                      </w:rPr>
                      <m:t>TRWR-Env.</m:t>
                    </m:r>
                  </m:den>
                </m:f>
                <m:r>
                  <w:rPr>
                    <w:rFonts w:ascii="Cambria Math" w:hAnsi="Cambria Math"/>
                    <w:sz w:val="20"/>
                    <w:szCs w:val="20"/>
                  </w:rPr>
                  <m:t>*100</m:t>
                </m:r>
              </m:oMath>
            </m:oMathPara>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It is proposed to classify the level of water stress in three main categories (levels): low, high and very high. The thresholds for the indicator could be country specific, to reflect differences in climate and national water management goals. Alternatively, uniform thresholds could be proposed using existing literature and taking into account environmental water requirements. </w:t>
            </w:r>
          </w:p>
        </w:tc>
      </w:tr>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lastRenderedPageBreak/>
              <w:t>Rationale and interpretation</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The purpose of this indicator is to show the degree to which water resources are being exploited to meet the country's water demand. It measures a country's pressure on its water resources and therefore the challenge on the sustainability of its water use.</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The indicator shows to what extent water resources are already used, and signals the importance of effective supply and demand management policies. It can also indicate the likelihood of increasing competition and conflict between different water uses and users in a situation of increasing water scarcity. Increased water stress, shown by an increase in the value of the indicator, has potentially negative effects on the sustainability of the natural resources and on economic development. On the other hand, low values of the indicator indicate that water does not represent a particular challenge for economic development and sustainability.</w:t>
            </w:r>
          </w:p>
        </w:tc>
      </w:tr>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t>Sources and data collection</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Data for this indicator are usually collected by national ministries and institutions having water-related issues in their mandate, such as ministries of water resources, agriculture, or environment. Data are mainly published within national water resources and irrigation master plans, national statistical yearbooks and other reports (such as those from projects, international surveys or results and publications from national and international research </w:t>
            </w:r>
            <w:proofErr w:type="spellStart"/>
            <w:r w:rsidRPr="005F4634">
              <w:rPr>
                <w:rFonts w:ascii="Calibri" w:hAnsi="Calibri"/>
                <w:sz w:val="20"/>
                <w:szCs w:val="20"/>
              </w:rPr>
              <w:t>centres</w:t>
            </w:r>
            <w:proofErr w:type="spellEnd"/>
            <w:r w:rsidRPr="005F4634">
              <w:rPr>
                <w:rFonts w:ascii="Calibri" w:hAnsi="Calibri"/>
                <w:sz w:val="20"/>
                <w:szCs w:val="20"/>
              </w:rPr>
              <w:t>).</w:t>
            </w:r>
          </w:p>
        </w:tc>
      </w:tr>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t>Disaggregation</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To compute this indicator, several sectoral data are needed. The indicator can be disaggregated to show the respective contribution of different sectors to the country’s water stress, and therefore the relative importance of actions needed to contain water demand in the different sectors (agriculture, municipalities and industry).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At national level, water resources and withdrawal are estimated or measured at the level of appropriate hydrological units (river basins, aquifers). It is therefore possible to obtain a geographical distribution of water stress by hydrological unit, thus allowing for </w:t>
            </w:r>
            <w:r w:rsidRPr="005F4634">
              <w:rPr>
                <w:rFonts w:ascii="Calibri" w:hAnsi="Calibri"/>
                <w:sz w:val="20"/>
                <w:szCs w:val="20"/>
              </w:rPr>
              <w:lastRenderedPageBreak/>
              <w:t xml:space="preserve">more targeted response in terms of water demand management. </w:t>
            </w:r>
          </w:p>
        </w:tc>
      </w:tr>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lastRenderedPageBreak/>
              <w:t>Comments and limitations</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Water withdrawal as a percentage of water resources is a good indicator of pressure on limited water resources, one of the most important natural resources. However, it only partially addresses the issues related to sustainable water management.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Supplementary indicators that capture the multiple dimensions of water management would combine data on water demand management, </w:t>
            </w:r>
            <w:proofErr w:type="spellStart"/>
            <w:r w:rsidRPr="005F4634">
              <w:rPr>
                <w:rFonts w:ascii="Calibri" w:hAnsi="Calibri"/>
                <w:sz w:val="20"/>
                <w:szCs w:val="20"/>
              </w:rPr>
              <w:t>behavioural</w:t>
            </w:r>
            <w:proofErr w:type="spellEnd"/>
            <w:r w:rsidRPr="005F4634">
              <w:rPr>
                <w:rFonts w:ascii="Calibri" w:hAnsi="Calibri"/>
                <w:sz w:val="20"/>
                <w:szCs w:val="20"/>
              </w:rPr>
              <w:t xml:space="preserve"> changes with regard to water use and the availability of appropriate infrastructure, and measure progress in increasing the efficiency and sustainability of water use, in particular in relation to population and economic growth. They would also recognize the different climatic environments that affect water use in countries, in particular in agriculture, which is the main user of water. Sustainability assessment is also linked to the critical thresholds fixed for this indicator and there is no universal consensus on such threshold.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Trends in water withdrawal show relatively slow patterns of change. Usually, three-five years are a minimum frequency to be able to detect significant changes, as it is unlikely that the indicator would show meaningful variations from one year to the other.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Estimation of water withdrawal by sector is the main limitation to the computation of the indicator. Few countries actually publish water use data on a regular basis by sector.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Renewable water resources include all surface water and groundwater resources that are available on a yearly basis without consideration of the capacity to harvest and use this resource. Exploitable water resources, which refer to the volume of surface water or groundwater that is available with an occurrence of 90% of the time, are considerably less than renewable water resources, but no universal method exists to assess such exploitable water resources.</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There is no universally agreed method for the computation of incoming freshwater flows originating outside of a country's borders. Nor is there any standard method to account for return flows, the part of the water withdrawn from its source and which flows back to the river system after use. In countries where return flow represents a substantial part of water withdrawal, the indicator tends to underestimate available water and therefore overestimate the level of water stress.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Other limitations that affect the interpretation of the water stress indicator include: </w:t>
            </w:r>
          </w:p>
          <w:p w:rsidR="005F4634" w:rsidRPr="005F4634" w:rsidRDefault="005F4634" w:rsidP="005F4634">
            <w:pPr>
              <w:numPr>
                <w:ilvl w:val="0"/>
                <w:numId w:val="1"/>
              </w:numPr>
              <w:suppressAutoHyphens/>
              <w:spacing w:after="200" w:line="276" w:lineRule="auto"/>
              <w:contextualSpacing/>
              <w:rPr>
                <w:rFonts w:ascii="Calibri" w:hAnsi="Calibri"/>
                <w:sz w:val="20"/>
                <w:szCs w:val="20"/>
              </w:rPr>
            </w:pPr>
            <w:r w:rsidRPr="005F4634">
              <w:rPr>
                <w:rFonts w:ascii="Calibri" w:hAnsi="Calibri"/>
                <w:sz w:val="20"/>
                <w:szCs w:val="20"/>
              </w:rPr>
              <w:t xml:space="preserve">difficulty to obtain accurate, complete and up-to-date data; </w:t>
            </w:r>
          </w:p>
          <w:p w:rsidR="005F4634" w:rsidRPr="005F4634" w:rsidRDefault="005F4634" w:rsidP="005F4634">
            <w:pPr>
              <w:numPr>
                <w:ilvl w:val="0"/>
                <w:numId w:val="1"/>
              </w:numPr>
              <w:suppressAutoHyphens/>
              <w:spacing w:after="200" w:line="276" w:lineRule="auto"/>
              <w:contextualSpacing/>
              <w:rPr>
                <w:rFonts w:ascii="Calibri" w:hAnsi="Calibri"/>
                <w:sz w:val="20"/>
                <w:szCs w:val="20"/>
              </w:rPr>
            </w:pPr>
            <w:r w:rsidRPr="005F4634">
              <w:rPr>
                <w:rFonts w:ascii="Calibri" w:hAnsi="Calibri"/>
                <w:sz w:val="20"/>
                <w:szCs w:val="20"/>
              </w:rPr>
              <w:t xml:space="preserve">potentially large variation of sub-national data; </w:t>
            </w:r>
          </w:p>
          <w:p w:rsidR="005F4634" w:rsidRPr="005F4634" w:rsidRDefault="005F4634" w:rsidP="005F4634">
            <w:pPr>
              <w:numPr>
                <w:ilvl w:val="0"/>
                <w:numId w:val="1"/>
              </w:numPr>
              <w:suppressAutoHyphens/>
              <w:spacing w:after="200" w:line="276" w:lineRule="auto"/>
              <w:contextualSpacing/>
              <w:rPr>
                <w:rFonts w:ascii="Calibri" w:hAnsi="Calibri"/>
                <w:sz w:val="20"/>
                <w:szCs w:val="20"/>
              </w:rPr>
            </w:pPr>
            <w:r w:rsidRPr="005F4634">
              <w:rPr>
                <w:rFonts w:ascii="Calibri" w:hAnsi="Calibri"/>
                <w:sz w:val="20"/>
                <w:szCs w:val="20"/>
              </w:rPr>
              <w:t>lack of account of seasonal variations in water resources;</w:t>
            </w:r>
          </w:p>
          <w:p w:rsidR="005F4634" w:rsidRPr="005F4634" w:rsidRDefault="005F4634" w:rsidP="005F4634">
            <w:pPr>
              <w:numPr>
                <w:ilvl w:val="0"/>
                <w:numId w:val="1"/>
              </w:numPr>
              <w:suppressAutoHyphens/>
              <w:spacing w:after="200" w:line="276" w:lineRule="auto"/>
              <w:contextualSpacing/>
              <w:rPr>
                <w:rFonts w:ascii="Calibri" w:hAnsi="Calibri"/>
                <w:sz w:val="20"/>
                <w:szCs w:val="20"/>
              </w:rPr>
            </w:pPr>
            <w:r w:rsidRPr="005F4634">
              <w:rPr>
                <w:rFonts w:ascii="Calibri" w:hAnsi="Calibri"/>
                <w:sz w:val="20"/>
                <w:szCs w:val="20"/>
              </w:rPr>
              <w:t xml:space="preserve">lack of consideration to the distribution among water uses; </w:t>
            </w:r>
          </w:p>
          <w:p w:rsidR="005F4634" w:rsidRPr="005F4634" w:rsidRDefault="005F4634" w:rsidP="005F4634">
            <w:pPr>
              <w:numPr>
                <w:ilvl w:val="0"/>
                <w:numId w:val="1"/>
              </w:numPr>
              <w:suppressAutoHyphens/>
              <w:spacing w:after="200" w:line="276" w:lineRule="auto"/>
              <w:contextualSpacing/>
              <w:rPr>
                <w:rFonts w:ascii="Calibri" w:hAnsi="Calibri"/>
                <w:sz w:val="20"/>
                <w:szCs w:val="20"/>
              </w:rPr>
            </w:pPr>
            <w:r w:rsidRPr="005F4634">
              <w:rPr>
                <w:rFonts w:ascii="Calibri" w:hAnsi="Calibri"/>
                <w:sz w:val="20"/>
                <w:szCs w:val="20"/>
              </w:rPr>
              <w:t>lack of consideration of water quality and its suitability for use; and</w:t>
            </w:r>
          </w:p>
          <w:p w:rsidR="005F4634" w:rsidRPr="005F4634" w:rsidRDefault="005F4634" w:rsidP="005F4634">
            <w:pPr>
              <w:numPr>
                <w:ilvl w:val="0"/>
                <w:numId w:val="1"/>
              </w:numPr>
              <w:suppressAutoHyphens/>
              <w:spacing w:after="200" w:line="276" w:lineRule="auto"/>
              <w:contextualSpacing/>
              <w:rPr>
                <w:rFonts w:ascii="Calibri" w:hAnsi="Calibri"/>
                <w:sz w:val="20"/>
                <w:szCs w:val="20"/>
              </w:rPr>
            </w:pPr>
            <w:r w:rsidRPr="005F4634">
              <w:rPr>
                <w:rFonts w:ascii="Calibri" w:hAnsi="Calibri"/>
                <w:sz w:val="20"/>
                <w:szCs w:val="20"/>
              </w:rPr>
              <w:t xml:space="preserve">the indicator can be higher than 100 percent when water withdrawal includes secondary freshwater (water withdrawn previously and returned to the system), non-renewable water (fossil groundwater), when annual groundwater withdrawal is higher than annual replenishment (over-abstraction) or when water withdrawal includes part or all of the water set aside for environmental water requirements.  </w:t>
            </w:r>
          </w:p>
          <w:p w:rsidR="005F4634" w:rsidRPr="005F4634" w:rsidRDefault="005F4634" w:rsidP="005F4634">
            <w:pPr>
              <w:suppressAutoHyphens/>
              <w:spacing w:after="200" w:line="276" w:lineRule="auto"/>
              <w:rPr>
                <w:rFonts w:ascii="Calibri" w:hAnsi="Calibri"/>
                <w:sz w:val="20"/>
                <w:szCs w:val="20"/>
              </w:rPr>
            </w:pP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lastRenderedPageBreak/>
              <w:t xml:space="preserve">Some of these issues can be solved through disaggregation of the index at the level of hydrological units and by distinguishing between different use sectors. </w:t>
            </w:r>
          </w:p>
        </w:tc>
      </w:tr>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lastRenderedPageBreak/>
              <w:t>Gender equality issues</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Women and men tend to have different water-related uses, priorities and responsibilities. There are also trends along gender lines in terms of access and control over water and water rights. Gender differences and inequalities mean that women and men experience and respond to changes in water availability, services or water policies differently. Thus the impact of water stress on women and men should be studied in order to better capture the gender dimension of water use. </w:t>
            </w:r>
          </w:p>
        </w:tc>
      </w:tr>
      <w:tr w:rsidR="005F4634" w:rsidRPr="005F4634" w:rsidTr="00CB74FD">
        <w:tc>
          <w:tcPr>
            <w:tcW w:w="2079" w:type="dxa"/>
          </w:tcPr>
          <w:p w:rsidR="005F4634" w:rsidRPr="005F4634" w:rsidRDefault="005F4634" w:rsidP="005F4634">
            <w:pPr>
              <w:suppressAutoHyphens/>
              <w:spacing w:after="200" w:line="276" w:lineRule="auto"/>
              <w:rPr>
                <w:rFonts w:ascii="Calibri" w:eastAsia="SimSun" w:hAnsi="Calibri" w:cs="Calibri"/>
                <w:b/>
                <w:color w:val="00000A"/>
                <w:sz w:val="20"/>
                <w:szCs w:val="20"/>
              </w:rPr>
            </w:pPr>
            <w:r w:rsidRPr="005F4634">
              <w:rPr>
                <w:rFonts w:ascii="Calibri" w:hAnsi="Calibri"/>
                <w:b/>
                <w:sz w:val="20"/>
                <w:szCs w:val="20"/>
              </w:rPr>
              <w:t>Data for global and regional monitoring</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The Food and Agriculture Organization of the United Nations (FAO) is the agency responsible for compiling data and calculating this indicator at the international level. This is done through its Global Information System on Water and Agriculture (AQUASTAT) country surveys since 1993. These surveys are carried out every ten years, on average.</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Data are obtained through detailed questionnaires filled in by national experts and consultants who collect information from the different institutions and ministries having water-related issues in their mandate. Literature and information at the country and sub-country level are reviewed including national policies and strategies; water resources and irrigation master plans; national reports, yearbooks and statistics; reports from projects; international surveys; results and publications from national and international research </w:t>
            </w:r>
            <w:proofErr w:type="spellStart"/>
            <w:r w:rsidRPr="005F4634">
              <w:rPr>
                <w:rFonts w:ascii="Calibri" w:hAnsi="Calibri"/>
                <w:sz w:val="20"/>
                <w:szCs w:val="20"/>
              </w:rPr>
              <w:t>centres</w:t>
            </w:r>
            <w:proofErr w:type="spellEnd"/>
            <w:r w:rsidRPr="005F4634">
              <w:rPr>
                <w:rFonts w:ascii="Calibri" w:hAnsi="Calibri"/>
                <w:sz w:val="20"/>
                <w:szCs w:val="20"/>
              </w:rPr>
              <w:t>; and the Internet.</w:t>
            </w:r>
          </w:p>
          <w:p w:rsidR="005F4634" w:rsidRPr="005F4634" w:rsidRDefault="005F4634" w:rsidP="005F4634">
            <w:pPr>
              <w:suppressAutoHyphens/>
              <w:spacing w:after="200" w:line="276" w:lineRule="auto"/>
              <w:rPr>
                <w:rFonts w:ascii="Calibri" w:eastAsia="SimSun" w:hAnsi="Calibri" w:cs="Calibri"/>
                <w:color w:val="00000A"/>
                <w:sz w:val="20"/>
                <w:szCs w:val="20"/>
              </w:rPr>
            </w:pPr>
            <w:r w:rsidRPr="005F4634">
              <w:rPr>
                <w:rFonts w:ascii="Calibri" w:eastAsia="SimSun" w:hAnsi="Calibri" w:cs="Calibri"/>
                <w:color w:val="00000A"/>
                <w:sz w:val="20"/>
                <w:szCs w:val="20"/>
              </w:rPr>
              <w:t xml:space="preserve">EWR data are presently not systematically collected by AQUASTAT, but several methods are available and could be used to compute EWR for countries that do not have the institutional arrangements and standards in place to assess or collect these data.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Data obtained from national sources are systematically reviewed to ensure consistency in definitions and consistency in data from countries located in the same river basin. A methodology has been developed and rules established to compute the different elements of national water balances.</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Estimates are based on country information, complemented, when necessary, with expert calculations based on unit water use figures by sector, and with available global datasets. In the case of conflicting sources of information, the difficulty lies in selecting the most reliable one. In some cases, water resources figures vary considerably from one source to another. There are various reasons for such differences, including differing computation methods, definitions or reference periods, double counting of surface water and groundwater or of transboundary river flows. Moreover, estimates of long-term average annual values can change due to the availability of better data from improvements in knowledge, methods or measurement networks.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Where several sources result in divergent or contradictory information, preference is given to information collected at the national or sub-national level rather than at regional or world levels. Moreover, except in the case of evident errors, official sources are privileged. As regards shared water resources, the comparison of information between countries makes it possible to verify and complete data concerning the flows of transboundary rivers and to ensure data coherence at the river basin level. In spite of these precautions, the accuracy, reliability and frequency with which information is collected vary considerably by region, country and category of information. Information </w:t>
            </w:r>
            <w:r w:rsidRPr="005F4634">
              <w:rPr>
                <w:rFonts w:ascii="Calibri" w:hAnsi="Calibri"/>
                <w:sz w:val="20"/>
                <w:szCs w:val="20"/>
              </w:rPr>
              <w:lastRenderedPageBreak/>
              <w:t>is completed using models when necessary.</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Regional and global level aggregations are obtained by applying the same procedure as for country level computation.</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AQUASTAT data on water resources and use are published when new information becomes available on the FAO-AQUASTAT website at </w:t>
            </w:r>
            <w:hyperlink r:id="rId6" w:history="1">
              <w:r w:rsidRPr="005F4634">
                <w:rPr>
                  <w:rFonts w:ascii="Calibri" w:hAnsi="Calibri"/>
                  <w:color w:val="17BBFD"/>
                  <w:sz w:val="20"/>
                  <w:szCs w:val="20"/>
                  <w:u w:val="single"/>
                </w:rPr>
                <w:t>http://www.fao.org/nr/aquastat</w:t>
              </w:r>
            </w:hyperlink>
            <w:r w:rsidRPr="005F4634">
              <w:rPr>
                <w:rFonts w:ascii="Calibri" w:hAnsi="Calibri"/>
                <w:sz w:val="20"/>
                <w:szCs w:val="20"/>
              </w:rPr>
              <w:t>.</w:t>
            </w:r>
          </w:p>
          <w:p w:rsidR="005F4634" w:rsidRPr="005F4634" w:rsidRDefault="005F4634" w:rsidP="005F4634">
            <w:pPr>
              <w:suppressAutoHyphens/>
              <w:spacing w:after="200" w:line="276" w:lineRule="auto"/>
              <w:rPr>
                <w:rFonts w:ascii="Calibri" w:eastAsia="SimSun" w:hAnsi="Calibri" w:cs="Calibri"/>
                <w:color w:val="00000A"/>
                <w:sz w:val="20"/>
                <w:szCs w:val="20"/>
              </w:rPr>
            </w:pPr>
            <w:r w:rsidRPr="005F4634">
              <w:rPr>
                <w:rFonts w:ascii="Calibri" w:eastAsia="SimSun" w:hAnsi="Calibri" w:cs="Calibri"/>
                <w:color w:val="00000A"/>
                <w:sz w:val="20"/>
                <w:szCs w:val="20"/>
              </w:rPr>
              <w:t xml:space="preserve">Modelled data are used with caution to fill gaps while capacity is being developed. Data on water resources can be modelled by using GIS-based hydrological models. Data on water withdrawal are estimated by sector on the basis of standard unit values of water withdrawal. </w:t>
            </w:r>
          </w:p>
          <w:p w:rsidR="005F4634" w:rsidRPr="005F4634" w:rsidRDefault="005F4634" w:rsidP="005F4634">
            <w:pPr>
              <w:suppressAutoHyphens/>
              <w:spacing w:after="200" w:line="276" w:lineRule="auto"/>
              <w:rPr>
                <w:rFonts w:ascii="Calibri" w:eastAsia="SimSun" w:hAnsi="Calibri" w:cs="Calibri"/>
                <w:color w:val="00000A"/>
                <w:sz w:val="20"/>
                <w:szCs w:val="20"/>
              </w:rPr>
            </w:pPr>
            <w:r w:rsidRPr="005F4634">
              <w:rPr>
                <w:rFonts w:ascii="Calibri" w:eastAsia="SimSun" w:hAnsi="Calibri" w:cs="Calibri"/>
                <w:color w:val="00000A"/>
                <w:sz w:val="20"/>
                <w:szCs w:val="20"/>
              </w:rPr>
              <w:t>The System of Environmental-Economic Accounting (SEEA, 2012) proposes a systematic approach the assessment of withdrawal and consumption based statistics. The approach is currently being tested in a select number of countries.</w:t>
            </w:r>
          </w:p>
        </w:tc>
      </w:tr>
      <w:tr w:rsidR="005F4634" w:rsidRPr="005F4634" w:rsidTr="00CB74FD">
        <w:tc>
          <w:tcPr>
            <w:tcW w:w="2079" w:type="dxa"/>
          </w:tcPr>
          <w:p w:rsidR="005F4634" w:rsidRPr="005F4634" w:rsidRDefault="005F4634" w:rsidP="005F4634">
            <w:pPr>
              <w:suppressAutoHyphens/>
              <w:spacing w:after="200" w:line="276" w:lineRule="auto"/>
              <w:rPr>
                <w:rFonts w:ascii="Calibri" w:hAnsi="Calibri"/>
                <w:b/>
                <w:sz w:val="20"/>
                <w:szCs w:val="20"/>
              </w:rPr>
            </w:pPr>
            <w:r w:rsidRPr="005F4634">
              <w:rPr>
                <w:rFonts w:ascii="Calibri" w:hAnsi="Calibri"/>
                <w:b/>
                <w:sz w:val="20"/>
                <w:szCs w:val="20"/>
              </w:rPr>
              <w:lastRenderedPageBreak/>
              <w:t>References</w:t>
            </w:r>
          </w:p>
        </w:tc>
        <w:tc>
          <w:tcPr>
            <w:tcW w:w="7385" w:type="dxa"/>
          </w:tcPr>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Food And Agricultural Organization Of The United Nations. AQUASTAT. FAO's Global Information System on Water and Agriculture. Rome. Website http://www.fao.org/nr/aquastat. </w:t>
            </w:r>
          </w:p>
          <w:p w:rsidR="005F4634" w:rsidRPr="005F4634" w:rsidRDefault="005F4634" w:rsidP="005F4634">
            <w:pPr>
              <w:suppressAutoHyphens/>
              <w:spacing w:after="200" w:line="276" w:lineRule="auto"/>
              <w:rPr>
                <w:rFonts w:ascii="Calibri" w:hAnsi="Calibri"/>
                <w:sz w:val="20"/>
                <w:szCs w:val="20"/>
              </w:rPr>
            </w:pPr>
            <w:r w:rsidRPr="005F4634">
              <w:rPr>
                <w:rFonts w:ascii="Calibri" w:hAnsi="Calibri"/>
                <w:sz w:val="20"/>
                <w:szCs w:val="20"/>
              </w:rPr>
              <w:t xml:space="preserve">The following resources of specific interest to this indicator are available on this site: </w:t>
            </w:r>
          </w:p>
          <w:p w:rsidR="005F4634" w:rsidRPr="005F4634" w:rsidRDefault="005F4634" w:rsidP="005F4634">
            <w:pPr>
              <w:numPr>
                <w:ilvl w:val="0"/>
                <w:numId w:val="3"/>
              </w:numPr>
              <w:suppressAutoHyphens/>
              <w:spacing w:after="200" w:line="276" w:lineRule="auto"/>
              <w:contextualSpacing/>
              <w:rPr>
                <w:rFonts w:ascii="Calibri" w:hAnsi="Calibri"/>
                <w:sz w:val="20"/>
                <w:szCs w:val="20"/>
                <w:lang w:val="it-IT"/>
              </w:rPr>
            </w:pPr>
            <w:r w:rsidRPr="005F4634">
              <w:rPr>
                <w:rFonts w:ascii="Calibri" w:hAnsi="Calibri"/>
                <w:sz w:val="20"/>
                <w:szCs w:val="20"/>
                <w:lang w:val="it-IT"/>
              </w:rPr>
              <w:t>AQUASTAT glossary (</w:t>
            </w:r>
            <w:r w:rsidRPr="005F4634">
              <w:rPr>
                <w:rFonts w:eastAsia="SimSun" w:cs="Calibri"/>
                <w:color w:val="00000A"/>
                <w:szCs w:val="22"/>
              </w:rPr>
              <w:fldChar w:fldCharType="begin"/>
            </w:r>
            <w:r w:rsidRPr="005F4634">
              <w:rPr>
                <w:rFonts w:eastAsia="SimSun" w:cs="Calibri"/>
                <w:color w:val="00000A"/>
                <w:szCs w:val="22"/>
                <w:lang w:val="it-IT"/>
              </w:rPr>
              <w:instrText xml:space="preserve"> HYPERLINK "http://www.fao.org/nr/water/aquastat/data/glossary/search.html" </w:instrText>
            </w:r>
            <w:r w:rsidRPr="005F4634">
              <w:rPr>
                <w:rFonts w:eastAsia="SimSun" w:cs="Calibri"/>
                <w:color w:val="00000A"/>
                <w:szCs w:val="22"/>
              </w:rPr>
              <w:fldChar w:fldCharType="separate"/>
            </w:r>
            <w:r w:rsidRPr="005F4634">
              <w:rPr>
                <w:rFonts w:ascii="Calibri" w:hAnsi="Calibri"/>
                <w:color w:val="17BBFD"/>
                <w:sz w:val="20"/>
                <w:szCs w:val="20"/>
                <w:u w:val="single"/>
                <w:lang w:val="it-IT"/>
              </w:rPr>
              <w:t>http://www.fao.org/nr/water/aquastat/data/glossary/search.html</w:t>
            </w:r>
            <w:r w:rsidRPr="005F4634">
              <w:rPr>
                <w:rFonts w:ascii="Calibri" w:hAnsi="Calibri"/>
                <w:color w:val="17BBFD"/>
                <w:sz w:val="20"/>
                <w:szCs w:val="20"/>
                <w:u w:val="single"/>
                <w:lang w:val="it-IT"/>
              </w:rPr>
              <w:fldChar w:fldCharType="end"/>
            </w:r>
            <w:r w:rsidRPr="005F4634">
              <w:rPr>
                <w:rFonts w:ascii="Calibri" w:hAnsi="Calibri"/>
                <w:sz w:val="20"/>
                <w:szCs w:val="20"/>
                <w:lang w:val="it-IT"/>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0"/>
                <w:szCs w:val="20"/>
              </w:rPr>
            </w:pPr>
            <w:r w:rsidRPr="005F4634">
              <w:rPr>
                <w:rFonts w:ascii="Calibri" w:hAnsi="Calibri"/>
                <w:sz w:val="20"/>
                <w:szCs w:val="20"/>
              </w:rPr>
              <w:t>AQUASTAT Main country database (</w:t>
            </w:r>
            <w:r w:rsidRPr="005F4634">
              <w:rPr>
                <w:rFonts w:ascii="Calibri" w:eastAsia="SimSun" w:hAnsi="Calibri" w:cs="Calibri"/>
                <w:color w:val="00000A"/>
                <w:sz w:val="20"/>
                <w:szCs w:val="20"/>
              </w:rPr>
              <w:t>http://www.fao.org/nr/water/aquastat/data/query/index.html?lang=en</w:t>
            </w:r>
            <w:r w:rsidRPr="005F4634">
              <w:rPr>
                <w:rFonts w:ascii="Calibri" w:hAnsi="Calibri"/>
                <w:sz w:val="20"/>
                <w:szCs w:val="20"/>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0"/>
                <w:szCs w:val="20"/>
              </w:rPr>
            </w:pPr>
            <w:r w:rsidRPr="005F4634">
              <w:rPr>
                <w:rFonts w:ascii="Calibri" w:hAnsi="Calibri"/>
                <w:sz w:val="20"/>
                <w:szCs w:val="20"/>
              </w:rPr>
              <w:t>AQUASTAT Water use (</w:t>
            </w:r>
            <w:hyperlink r:id="rId7" w:history="1">
              <w:r w:rsidRPr="005F4634">
                <w:rPr>
                  <w:rFonts w:ascii="Calibri" w:hAnsi="Calibri"/>
                  <w:color w:val="17BBFD"/>
                  <w:sz w:val="20"/>
                  <w:szCs w:val="20"/>
                  <w:u w:val="single"/>
                </w:rPr>
                <w:t>http://www.fao.org/nr/water/aquastat/water_use/index.stm</w:t>
              </w:r>
            </w:hyperlink>
            <w:r w:rsidRPr="005F4634">
              <w:rPr>
                <w:rFonts w:ascii="Calibri" w:hAnsi="Calibri"/>
                <w:sz w:val="20"/>
                <w:szCs w:val="20"/>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0"/>
                <w:szCs w:val="20"/>
              </w:rPr>
            </w:pPr>
            <w:r w:rsidRPr="005F4634">
              <w:rPr>
                <w:rFonts w:ascii="Calibri" w:hAnsi="Calibri"/>
                <w:sz w:val="20"/>
                <w:szCs w:val="20"/>
              </w:rPr>
              <w:t>AQUASTAT Water resources (</w:t>
            </w:r>
            <w:hyperlink r:id="rId8" w:history="1">
              <w:r w:rsidRPr="005F4634">
                <w:rPr>
                  <w:rFonts w:ascii="Calibri" w:hAnsi="Calibri"/>
                  <w:color w:val="17BBFD"/>
                  <w:sz w:val="20"/>
                  <w:szCs w:val="20"/>
                  <w:u w:val="single"/>
                </w:rPr>
                <w:t>http://www.fao.org/nr/water/aquastat/water_res/index.stm</w:t>
              </w:r>
            </w:hyperlink>
            <w:r w:rsidRPr="005F4634">
              <w:rPr>
                <w:rFonts w:ascii="Calibri" w:hAnsi="Calibri"/>
                <w:sz w:val="20"/>
                <w:szCs w:val="20"/>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0"/>
                <w:szCs w:val="20"/>
              </w:rPr>
            </w:pPr>
            <w:r w:rsidRPr="005F4634">
              <w:rPr>
                <w:rFonts w:ascii="Calibri" w:hAnsi="Calibri"/>
                <w:sz w:val="20"/>
                <w:szCs w:val="20"/>
              </w:rPr>
              <w:t>AQUASTAT publications dealing with concepts, methodologies, definitions, terminologies, metadata, etc. (http://www.fao.org/nr/water/aquastat/catalogues/index.stm)</w:t>
            </w:r>
          </w:p>
          <w:p w:rsidR="005F4634" w:rsidRPr="005F4634" w:rsidRDefault="005F4634" w:rsidP="005F4634">
            <w:pPr>
              <w:numPr>
                <w:ilvl w:val="0"/>
                <w:numId w:val="2"/>
              </w:numPr>
              <w:suppressAutoHyphens/>
              <w:spacing w:after="200" w:line="276" w:lineRule="auto"/>
              <w:contextualSpacing/>
              <w:rPr>
                <w:rFonts w:ascii="Calibri" w:hAnsi="Calibri"/>
                <w:sz w:val="20"/>
                <w:szCs w:val="20"/>
              </w:rPr>
            </w:pPr>
            <w:r w:rsidRPr="005F4634">
              <w:rPr>
                <w:rFonts w:ascii="Calibri" w:hAnsi="Calibri"/>
                <w:sz w:val="20"/>
                <w:szCs w:val="20"/>
              </w:rPr>
              <w:t xml:space="preserve">For surface water, environmental water requirement databases include: </w:t>
            </w:r>
            <w:hyperlink r:id="rId9" w:history="1">
              <w:r w:rsidRPr="005F4634">
                <w:rPr>
                  <w:rFonts w:ascii="Calibri" w:hAnsi="Calibri"/>
                  <w:color w:val="17BBFD"/>
                  <w:sz w:val="20"/>
                  <w:szCs w:val="20"/>
                  <w:u w:val="single"/>
                </w:rPr>
                <w:t>http://waterdata.iwmi.org/apps/flow_management_classes/</w:t>
              </w:r>
            </w:hyperlink>
            <w:r w:rsidRPr="005F4634">
              <w:rPr>
                <w:rFonts w:ascii="Calibri" w:hAnsi="Calibri"/>
                <w:sz w:val="20"/>
                <w:szCs w:val="20"/>
              </w:rPr>
              <w:t>,</w:t>
            </w:r>
          </w:p>
          <w:p w:rsidR="005F4634" w:rsidRPr="005F4634" w:rsidRDefault="005F4634" w:rsidP="005F4634">
            <w:pPr>
              <w:numPr>
                <w:ilvl w:val="0"/>
                <w:numId w:val="2"/>
              </w:numPr>
              <w:suppressAutoHyphens/>
              <w:spacing w:after="200" w:line="276" w:lineRule="auto"/>
              <w:contextualSpacing/>
              <w:rPr>
                <w:rFonts w:ascii="Calibri" w:hAnsi="Calibri"/>
                <w:sz w:val="20"/>
                <w:szCs w:val="20"/>
              </w:rPr>
            </w:pPr>
            <w:hyperlink r:id="rId10" w:history="1">
              <w:r w:rsidRPr="005F4634">
                <w:rPr>
                  <w:rFonts w:ascii="Calibri" w:hAnsi="Calibri"/>
                  <w:color w:val="17BBFD"/>
                  <w:sz w:val="20"/>
                  <w:szCs w:val="20"/>
                  <w:u w:val="single"/>
                </w:rPr>
                <w:t>http://www.iwmi.cgiar.org/resources/models-and-software/environmental-flow-calculators/</w:t>
              </w:r>
            </w:hyperlink>
            <w:r w:rsidRPr="005F4634">
              <w:rPr>
                <w:rFonts w:ascii="Calibri" w:hAnsi="Calibri"/>
                <w:sz w:val="20"/>
                <w:szCs w:val="20"/>
              </w:rPr>
              <w:t xml:space="preserve">. </w:t>
            </w:r>
          </w:p>
          <w:p w:rsidR="005F4634" w:rsidRPr="005F4634" w:rsidRDefault="005F4634" w:rsidP="005F4634">
            <w:pPr>
              <w:numPr>
                <w:ilvl w:val="0"/>
                <w:numId w:val="2"/>
              </w:numPr>
              <w:suppressAutoHyphens/>
              <w:spacing w:after="200" w:line="276" w:lineRule="auto"/>
              <w:contextualSpacing/>
              <w:rPr>
                <w:rFonts w:ascii="Calibri" w:hAnsi="Calibri"/>
                <w:sz w:val="20"/>
                <w:szCs w:val="20"/>
              </w:rPr>
            </w:pPr>
            <w:r w:rsidRPr="005F4634">
              <w:rPr>
                <w:rFonts w:ascii="Calibri" w:hAnsi="Calibri"/>
                <w:sz w:val="20"/>
                <w:szCs w:val="20"/>
              </w:rPr>
              <w:t>Environmental water requirement data for groundwater bodies will be available at IWMI by the end of 2015.</w:t>
            </w:r>
          </w:p>
        </w:tc>
      </w:tr>
    </w:tbl>
    <w:p w:rsidR="005F4634" w:rsidRPr="005F4634" w:rsidRDefault="005F4634" w:rsidP="005F4634">
      <w:pPr>
        <w:autoSpaceDE w:val="0"/>
        <w:autoSpaceDN w:val="0"/>
        <w:adjustRightInd w:val="0"/>
        <w:spacing w:line="276" w:lineRule="auto"/>
        <w:jc w:val="both"/>
        <w:rPr>
          <w:rFonts w:ascii="Calibri" w:eastAsia="Times New Roman" w:hAnsi="Calibri" w:cs="Tahoma"/>
          <w:color w:val="auto"/>
          <w:sz w:val="22"/>
          <w:szCs w:val="22"/>
          <w:lang w:eastAsia="ja-JP"/>
        </w:rPr>
      </w:pPr>
    </w:p>
    <w:p w:rsidR="005F4634" w:rsidRPr="005F4634" w:rsidRDefault="005F4634" w:rsidP="005F4634">
      <w:pPr>
        <w:spacing w:line="276" w:lineRule="auto"/>
        <w:ind w:right="-285"/>
        <w:jc w:val="both"/>
        <w:rPr>
          <w:rFonts w:ascii="Calibri" w:eastAsia="Constantia" w:hAnsi="Calibri" w:cs="Consolas"/>
          <w:b/>
          <w:bCs/>
          <w:color w:val="auto"/>
          <w:sz w:val="28"/>
          <w:szCs w:val="28"/>
        </w:rPr>
      </w:pPr>
      <w:r w:rsidRPr="005F4634">
        <w:rPr>
          <w:rFonts w:ascii="Calibri" w:eastAsia="SimSun" w:hAnsi="Calibri" w:cs="Calibri"/>
          <w:b/>
          <w:bCs/>
          <w:color w:val="auto"/>
          <w:sz w:val="28"/>
          <w:szCs w:val="28"/>
        </w:rPr>
        <w:br w:type="page"/>
      </w:r>
    </w:p>
    <w:p w:rsidR="005F4634" w:rsidRPr="005F4634" w:rsidRDefault="005F4634" w:rsidP="005F4634">
      <w:pPr>
        <w:pageBreakBefore/>
        <w:shd w:val="clear" w:color="auto" w:fill="99FF99"/>
        <w:spacing w:after="200" w:line="276" w:lineRule="auto"/>
        <w:ind w:right="-285"/>
        <w:jc w:val="center"/>
        <w:outlineLvl w:val="1"/>
        <w:rPr>
          <w:rFonts w:ascii="Calibri" w:eastAsia="SimSun" w:hAnsi="Calibri"/>
          <w:b/>
          <w:color w:val="auto"/>
        </w:rPr>
      </w:pPr>
      <w:bookmarkStart w:id="1" w:name="Indicator642"/>
      <w:r w:rsidRPr="005F4634">
        <w:rPr>
          <w:rFonts w:ascii="Calibri" w:eastAsia="SimSun" w:hAnsi="Calibri"/>
          <w:b/>
          <w:color w:val="auto"/>
        </w:rPr>
        <w:lastRenderedPageBreak/>
        <w:t>Indicator 6.4.2</w:t>
      </w:r>
      <w:bookmarkEnd w:id="1"/>
      <w:r w:rsidRPr="005F4634">
        <w:rPr>
          <w:rFonts w:ascii="Calibri" w:eastAsia="SimSun" w:hAnsi="Calibri"/>
          <w:b/>
          <w:color w:val="auto"/>
        </w:rPr>
        <w:br/>
      </w:r>
      <w:r w:rsidRPr="005F4634">
        <w:rPr>
          <w:rFonts w:ascii="Calibri" w:eastAsia="SimSun" w:hAnsi="Calibri"/>
          <w:b/>
          <w:color w:val="auto"/>
          <w:shd w:val="clear" w:color="auto" w:fill="99FF99"/>
        </w:rPr>
        <w:t>“</w:t>
      </w:r>
      <w:r w:rsidRPr="005F4634">
        <w:rPr>
          <w:rFonts w:ascii="Calibri" w:eastAsia="SimSun" w:hAnsi="Calibri"/>
          <w:color w:val="auto"/>
          <w:shd w:val="clear" w:color="auto" w:fill="99FF99"/>
        </w:rPr>
        <w:t>Percentage of change in water use efficiency over time”</w:t>
      </w:r>
    </w:p>
    <w:p w:rsidR="005F4634" w:rsidRPr="005F4634" w:rsidRDefault="005F4634" w:rsidP="005F4634">
      <w:pPr>
        <w:spacing w:line="276" w:lineRule="auto"/>
        <w:ind w:right="-285"/>
        <w:rPr>
          <w:rFonts w:ascii="Calibri" w:eastAsia="SimSun" w:hAnsi="Calibri"/>
          <w:b/>
          <w:color w:val="auto"/>
          <w:sz w:val="22"/>
          <w:lang w:eastAsia="en-GB"/>
        </w:rPr>
      </w:pPr>
    </w:p>
    <w:tbl>
      <w:tblPr>
        <w:tblStyle w:val="TableGrid"/>
        <w:tblW w:w="9464" w:type="dxa"/>
        <w:tblLayout w:type="fixed"/>
        <w:tblLook w:val="04A0" w:firstRow="1" w:lastRow="0" w:firstColumn="1" w:lastColumn="0" w:noHBand="0" w:noVBand="1"/>
      </w:tblPr>
      <w:tblGrid>
        <w:gridCol w:w="1614"/>
        <w:gridCol w:w="7850"/>
      </w:tblGrid>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t>Definition and method of computation</w:t>
            </w:r>
          </w:p>
        </w:tc>
        <w:tc>
          <w:tcPr>
            <w:tcW w:w="7850" w:type="dxa"/>
          </w:tcPr>
          <w:p w:rsidR="005F4634" w:rsidRPr="005F4634" w:rsidRDefault="005F4634" w:rsidP="005F4634">
            <w:pPr>
              <w:suppressAutoHyphens/>
              <w:spacing w:after="120" w:line="276" w:lineRule="auto"/>
              <w:rPr>
                <w:rFonts w:ascii="Calibri" w:hAnsi="Calibri"/>
                <w:sz w:val="22"/>
                <w:szCs w:val="22"/>
              </w:rPr>
            </w:pPr>
            <w:r w:rsidRPr="005F4634">
              <w:rPr>
                <w:rFonts w:ascii="Calibri" w:hAnsi="Calibri"/>
                <w:b/>
                <w:sz w:val="22"/>
                <w:szCs w:val="22"/>
              </w:rPr>
              <w:t>Definition:</w:t>
            </w:r>
            <w:r w:rsidRPr="005F4634">
              <w:rPr>
                <w:rFonts w:ascii="Calibri" w:hAnsi="Calibri"/>
                <w:sz w:val="22"/>
                <w:szCs w:val="22"/>
              </w:rPr>
              <w:t xml:space="preserve"> This indicator tracks change in water-use efficiency over time for major sectors, including energy, industry, agriculture, and drinking water supply (municipal).</w:t>
            </w:r>
          </w:p>
          <w:p w:rsidR="005F4634" w:rsidRPr="005F4634" w:rsidRDefault="005F4634" w:rsidP="005F4634">
            <w:pPr>
              <w:suppressAutoHyphens/>
              <w:spacing w:after="120" w:line="276" w:lineRule="auto"/>
              <w:rPr>
                <w:rFonts w:ascii="Calibri" w:hAnsi="Calibri"/>
                <w:sz w:val="22"/>
                <w:szCs w:val="22"/>
              </w:rPr>
            </w:pPr>
            <w:r w:rsidRPr="005F4634">
              <w:rPr>
                <w:rFonts w:ascii="Calibri" w:hAnsi="Calibri"/>
                <w:b/>
                <w:sz w:val="22"/>
                <w:szCs w:val="22"/>
              </w:rPr>
              <w:t xml:space="preserve">Method of computation: </w:t>
            </w:r>
            <w:r w:rsidRPr="005F4634">
              <w:rPr>
                <w:rFonts w:ascii="Calibri" w:hAnsi="Calibri"/>
                <w:sz w:val="22"/>
                <w:szCs w:val="22"/>
              </w:rPr>
              <w:t>Sectoral efficiencies are aggregated in a single indicator through the use of weighting coefficients proportional to each sector’s share of total water withdrawal/ consumption:</w:t>
            </w:r>
          </w:p>
          <w:p w:rsidR="005F4634" w:rsidRPr="005F4634" w:rsidRDefault="005F4634" w:rsidP="005F4634">
            <w:pPr>
              <w:numPr>
                <w:ilvl w:val="0"/>
                <w:numId w:val="4"/>
              </w:numPr>
              <w:suppressAutoHyphens/>
              <w:spacing w:after="120" w:line="276" w:lineRule="auto"/>
              <w:contextualSpacing/>
              <w:rPr>
                <w:rFonts w:ascii="Calibri" w:hAnsi="Calibri"/>
                <w:sz w:val="22"/>
                <w:szCs w:val="22"/>
              </w:rPr>
            </w:pPr>
            <w:r w:rsidRPr="005F4634">
              <w:rPr>
                <w:rFonts w:ascii="Calibri" w:hAnsi="Calibri"/>
                <w:sz w:val="22"/>
                <w:szCs w:val="22"/>
              </w:rPr>
              <w:t xml:space="preserve">Step 1. Water use efficiency for each sector is computed through a sector-specific method. Change in water use efficiency is calculated over a 3 or 5 year period. </w:t>
            </w:r>
          </w:p>
          <w:p w:rsidR="005F4634" w:rsidRPr="005F4634" w:rsidRDefault="005F4634" w:rsidP="005F4634">
            <w:pPr>
              <w:numPr>
                <w:ilvl w:val="0"/>
                <w:numId w:val="4"/>
              </w:numPr>
              <w:suppressAutoHyphens/>
              <w:spacing w:after="120" w:line="276" w:lineRule="auto"/>
              <w:contextualSpacing/>
              <w:rPr>
                <w:rFonts w:ascii="Calibri" w:hAnsi="Calibri"/>
                <w:sz w:val="22"/>
                <w:szCs w:val="22"/>
              </w:rPr>
            </w:pPr>
            <w:r w:rsidRPr="005F4634">
              <w:rPr>
                <w:rFonts w:ascii="Calibri" w:hAnsi="Calibri"/>
                <w:sz w:val="22"/>
                <w:szCs w:val="22"/>
              </w:rPr>
              <w:t xml:space="preserve">Step 2. Each sector change in water use efficiency over the agreed period is multiplied by the proportion of withdrawal tied to that sector. </w:t>
            </w:r>
          </w:p>
          <w:p w:rsidR="005F4634" w:rsidRPr="005F4634" w:rsidRDefault="005F4634" w:rsidP="005F4634">
            <w:pPr>
              <w:numPr>
                <w:ilvl w:val="0"/>
                <w:numId w:val="4"/>
              </w:numPr>
              <w:suppressAutoHyphens/>
              <w:spacing w:after="120" w:line="276" w:lineRule="auto"/>
              <w:contextualSpacing/>
              <w:rPr>
                <w:rFonts w:ascii="Calibri" w:hAnsi="Calibri"/>
                <w:sz w:val="22"/>
                <w:szCs w:val="22"/>
              </w:rPr>
            </w:pPr>
            <w:r w:rsidRPr="005F4634">
              <w:rPr>
                <w:rFonts w:ascii="Calibri" w:hAnsi="Calibri"/>
                <w:sz w:val="22"/>
                <w:szCs w:val="22"/>
              </w:rPr>
              <w:t>Step 3. All sectoral results from Step 2 are added together to account for 100% of withdrawals/consumption.</w:t>
            </w:r>
          </w:p>
          <w:p w:rsidR="005F4634" w:rsidRPr="005F4634" w:rsidRDefault="005F4634" w:rsidP="005F4634">
            <w:pPr>
              <w:suppressAutoHyphens/>
              <w:spacing w:after="120" w:line="276" w:lineRule="auto"/>
              <w:rPr>
                <w:rFonts w:ascii="Calibri" w:hAnsi="Calibri"/>
                <w:sz w:val="22"/>
                <w:szCs w:val="22"/>
              </w:rPr>
            </w:pPr>
            <w:r w:rsidRPr="005F4634">
              <w:rPr>
                <w:rFonts w:ascii="Calibri" w:hAnsi="Calibri"/>
                <w:i/>
                <w:sz w:val="22"/>
                <w:szCs w:val="22"/>
              </w:rPr>
              <w:t>Water Efficiency in Agriculture</w:t>
            </w:r>
            <w:r w:rsidRPr="005F4634">
              <w:rPr>
                <w:rFonts w:ascii="Calibri" w:hAnsi="Calibri"/>
                <w:sz w:val="22"/>
                <w:szCs w:val="22"/>
              </w:rPr>
              <w:t xml:space="preserve"> is calculated as the agricultural value added per agricultural water consumed, expressed in USD/m3. Agricultural water consumed is computed modifications to AQUASTAT water withdrawal data (in m3/year). Agriculture value added is obtained from Gross Value Added by Kind of Economic Activity at constant (2005) prices - US dollars, Agricultural sector (UNSD). Change in water efficiency over the selected period is obtained by the following:</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1. Calculate 3-year average of agricultural water consumed around each reference year (e.g. 2009-2011; 2014-2016 in the case of a 5-year time step).</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2. Calculate 3-year average agricultural value added around each reference year (e.g. 2009-2011; 2014-2016 in the case of a 5-year time step).</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3. Divide value added by water consumed to obtain water efficiency for each reference year.</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4. Subtract water efficiencies obtained between the two reference years.</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5. Divide result by water efficiency for first reference year to calculate percent change.</w:t>
            </w:r>
          </w:p>
          <w:p w:rsidR="005F4634" w:rsidRPr="005F4634" w:rsidRDefault="005F4634" w:rsidP="005F4634">
            <w:pPr>
              <w:suppressAutoHyphens/>
              <w:spacing w:after="120" w:line="276" w:lineRule="auto"/>
              <w:rPr>
                <w:rFonts w:ascii="Calibri" w:hAnsi="Calibri"/>
                <w:sz w:val="22"/>
                <w:szCs w:val="22"/>
              </w:rPr>
            </w:pPr>
            <w:r w:rsidRPr="005F4634">
              <w:rPr>
                <w:rFonts w:ascii="Calibri" w:hAnsi="Calibri"/>
                <w:i/>
                <w:sz w:val="22"/>
                <w:szCs w:val="22"/>
              </w:rPr>
              <w:t>Water efficiency of industries</w:t>
            </w:r>
            <w:r w:rsidRPr="005F4634">
              <w:rPr>
                <w:rFonts w:ascii="Calibri" w:hAnsi="Calibri"/>
                <w:sz w:val="22"/>
                <w:szCs w:val="22"/>
              </w:rPr>
              <w:t xml:space="preserve"> is calculated as the industrial value added per industrial water withdrawals, and expressed in USD/m3. Industrial water withdrawal is obtained from AQUASTAT and expressed in m3/year. Industrial value added is obtained from Gross Value Added (GVA) by Kind of Economic Activity at constant (2005) prices – US dollars. Change in water efficiency over the selected period is obtained by the following:</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1. Calculate 3-year average of industrial water withdrawal around each reference year (e.g. 2009-2011; 2014-2016 in the case of a 5-year time step).</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2. Calculate 3-year average industrial value added around each reference year (e.g. 2009-2011; 2014-2016 in the case of a 5-year time step).</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lastRenderedPageBreak/>
              <w:t>Step 3. Divide value added by water withdrawal to obtain water efficiency for each reference year.</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4. Subtract water efficiencies obtained between the two reference years.</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5. Divide result by water efficiency for first reference year to calculate percent change.</w:t>
            </w:r>
          </w:p>
          <w:p w:rsidR="005F4634" w:rsidRPr="005F4634" w:rsidRDefault="005F4634" w:rsidP="005F4634">
            <w:pPr>
              <w:suppressAutoHyphens/>
              <w:spacing w:after="120" w:line="276" w:lineRule="auto"/>
              <w:rPr>
                <w:rFonts w:ascii="Calibri" w:hAnsi="Calibri"/>
                <w:sz w:val="22"/>
                <w:szCs w:val="22"/>
              </w:rPr>
            </w:pPr>
            <w:r w:rsidRPr="005F4634">
              <w:rPr>
                <w:rFonts w:ascii="Calibri" w:hAnsi="Calibri"/>
                <w:i/>
                <w:sz w:val="22"/>
                <w:szCs w:val="22"/>
              </w:rPr>
              <w:t xml:space="preserve">Energy (Power) Water Efficiency </w:t>
            </w:r>
            <w:r w:rsidRPr="005F4634">
              <w:rPr>
                <w:rFonts w:ascii="Calibri" w:hAnsi="Calibri"/>
                <w:sz w:val="22"/>
                <w:szCs w:val="22"/>
              </w:rPr>
              <w:t>is calculated as the power production per unit of water consumed for energy production, and expressed in MWh/m3.  Energy water withdrawals are obtained from the 2012 World Energy Outlook (International Energy Agency). Electricity production (International Energy Agency), primary energy and primary electricity production (World Bank based on IEA data) or the UNSD energy statistics questionnaire. Change in water efficiency over the selected period is obtained through the following computation:</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1. Calculate 3-year average of water withdrawal for energy production around each reference year (e.g. 2009-2011; 2014-2016 in the case of a 5-year time step). convert to water consumed using evapotranspiration assumptions modelled per electricity source</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2. Calculate 3-year average of megawatt hours around each reference year (e.g. 2009-2011; 2014-2016 in the case of a 5-year time step).</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3. Divide the average megawatt hours produced by water consumed for each reference year.</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4. Subtract change between the two reference years.</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5. Divide result by water efficiency for first reference year to calculate percent change.</w:t>
            </w:r>
          </w:p>
          <w:p w:rsidR="005F4634" w:rsidRPr="005F4634" w:rsidRDefault="005F4634" w:rsidP="005F4634">
            <w:pPr>
              <w:suppressAutoHyphens/>
              <w:spacing w:after="120" w:line="276" w:lineRule="auto"/>
              <w:rPr>
                <w:rFonts w:ascii="Calibri" w:hAnsi="Calibri"/>
                <w:sz w:val="22"/>
                <w:szCs w:val="22"/>
              </w:rPr>
            </w:pPr>
            <w:r w:rsidRPr="005F4634">
              <w:rPr>
                <w:rFonts w:ascii="Calibri" w:hAnsi="Calibri"/>
                <w:i/>
                <w:sz w:val="22"/>
                <w:szCs w:val="22"/>
              </w:rPr>
              <w:t xml:space="preserve">Municipal water supply efficiency </w:t>
            </w:r>
            <w:r w:rsidRPr="005F4634">
              <w:rPr>
                <w:rFonts w:ascii="Calibri" w:hAnsi="Calibri"/>
                <w:sz w:val="22"/>
                <w:szCs w:val="22"/>
              </w:rPr>
              <w:t>is the ratio between water effectively distributed to households/ consumers and the water produced for domestic consumption by water supply utilities. It uses the statistics on unaccounted for water available from the IBNET database. Change in water efficiency over the selected period is obtained through the following computation:</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 xml:space="preserve">Step 1. Calculate 3-year average of water production by water distribution facilities around each reference year (e.g. 2009-2011; 2014-2016 in the case of a 5-year time step). </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 xml:space="preserve">Step 2. Calculate 3-year average of billed water volumes by water supply utilities   around each reference year (e.g. 2009-2011; 2014-2016 in the case of a 5-year time step) (the difference represents </w:t>
            </w:r>
            <w:proofErr w:type="spellStart"/>
            <w:r w:rsidRPr="005F4634">
              <w:rPr>
                <w:rFonts w:ascii="Calibri" w:hAnsi="Calibri"/>
                <w:sz w:val="22"/>
                <w:szCs w:val="22"/>
              </w:rPr>
              <w:t>unacounted</w:t>
            </w:r>
            <w:proofErr w:type="spellEnd"/>
            <w:r w:rsidRPr="005F4634">
              <w:rPr>
                <w:rFonts w:ascii="Calibri" w:hAnsi="Calibri"/>
                <w:sz w:val="22"/>
                <w:szCs w:val="22"/>
              </w:rPr>
              <w:t xml:space="preserve"> for water). </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3. Divide the billed water volumes by water production for each reference year.</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4. Subtract change between the two reference years.</w:t>
            </w:r>
          </w:p>
          <w:p w:rsidR="005F4634" w:rsidRPr="005F4634" w:rsidRDefault="005F4634" w:rsidP="005F4634">
            <w:pPr>
              <w:numPr>
                <w:ilvl w:val="0"/>
                <w:numId w:val="5"/>
              </w:numPr>
              <w:suppressAutoHyphens/>
              <w:spacing w:after="120" w:line="276" w:lineRule="auto"/>
              <w:contextualSpacing/>
              <w:rPr>
                <w:rFonts w:ascii="Calibri" w:hAnsi="Calibri"/>
                <w:sz w:val="22"/>
                <w:szCs w:val="22"/>
              </w:rPr>
            </w:pPr>
            <w:r w:rsidRPr="005F4634">
              <w:rPr>
                <w:rFonts w:ascii="Calibri" w:hAnsi="Calibri"/>
                <w:sz w:val="22"/>
                <w:szCs w:val="22"/>
              </w:rPr>
              <w:t>Step 5. Divide result by municipal water efficiency for first reference year to calculate percent change.</w:t>
            </w:r>
          </w:p>
        </w:tc>
      </w:tr>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lastRenderedPageBreak/>
              <w:t>Rationale and interpretation</w:t>
            </w:r>
          </w:p>
        </w:tc>
        <w:tc>
          <w:tcPr>
            <w:tcW w:w="7850" w:type="dxa"/>
          </w:tcPr>
          <w:p w:rsidR="005F4634" w:rsidRPr="005F4634" w:rsidRDefault="005F4634" w:rsidP="005F4634">
            <w:pPr>
              <w:suppressAutoHyphens/>
              <w:spacing w:after="120" w:line="276" w:lineRule="auto"/>
              <w:rPr>
                <w:rFonts w:ascii="Calibri" w:hAnsi="Calibri"/>
                <w:sz w:val="22"/>
                <w:szCs w:val="22"/>
                <w:highlight w:val="yellow"/>
              </w:rPr>
            </w:pPr>
            <w:r w:rsidRPr="005F4634">
              <w:rPr>
                <w:rFonts w:ascii="Calibri" w:hAnsi="Calibri"/>
                <w:sz w:val="22"/>
                <w:szCs w:val="22"/>
              </w:rPr>
              <w:t xml:space="preserve">The indicator provides an aggregated measure of overall change in efficiency across sectors, but it is built on sectoral data and is therefore relevant to each of the sectors. The indicator provides incentives for countries to improve water efficiency </w:t>
            </w:r>
            <w:r w:rsidRPr="005F4634">
              <w:rPr>
                <w:rFonts w:ascii="Calibri" w:hAnsi="Calibri"/>
                <w:sz w:val="22"/>
                <w:szCs w:val="22"/>
              </w:rPr>
              <w:lastRenderedPageBreak/>
              <w:t>through all sectors, while weighting the focus to those sectors within each country that represent the largest withdrawals. The indicator is most relevant when combined with sector-specific efficiency indicators.</w:t>
            </w:r>
          </w:p>
        </w:tc>
      </w:tr>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lastRenderedPageBreak/>
              <w:t>Sources and data collection</w:t>
            </w:r>
          </w:p>
        </w:tc>
        <w:tc>
          <w:tcPr>
            <w:tcW w:w="7850" w:type="dxa"/>
          </w:tcPr>
          <w:p w:rsidR="005F4634" w:rsidRPr="005F4634" w:rsidRDefault="005F4634" w:rsidP="005F4634">
            <w:pPr>
              <w:suppressAutoHyphens/>
              <w:spacing w:after="120" w:line="276" w:lineRule="auto"/>
              <w:rPr>
                <w:rFonts w:ascii="Calibri" w:eastAsia="SimSun" w:hAnsi="Calibri" w:cs="Calibri"/>
                <w:color w:val="00000A"/>
                <w:sz w:val="22"/>
                <w:szCs w:val="22"/>
              </w:rPr>
            </w:pPr>
            <w:r w:rsidRPr="005F4634">
              <w:rPr>
                <w:rFonts w:ascii="Calibri" w:eastAsia="SimSun" w:hAnsi="Calibri" w:cs="Calibri"/>
                <w:color w:val="00000A"/>
                <w:sz w:val="22"/>
                <w:szCs w:val="22"/>
              </w:rPr>
              <w:t xml:space="preserve">The indicator can be calculated using existing datasets from FAO-AQUASTAT (FAO) on water withdrawals in different sectors, together with datasets on value generation from National Accounts Main Aggregates (UNSD), World Energy Outlook (International Energy Agency), World Bank demographic datasets, </w:t>
            </w:r>
            <w:proofErr w:type="spellStart"/>
            <w:r w:rsidRPr="005F4634">
              <w:rPr>
                <w:rFonts w:ascii="Calibri" w:eastAsia="SimSun" w:hAnsi="Calibri" w:cs="Calibri"/>
                <w:color w:val="00000A"/>
                <w:sz w:val="22"/>
                <w:szCs w:val="22"/>
              </w:rPr>
              <w:t>WaterStat</w:t>
            </w:r>
            <w:proofErr w:type="spellEnd"/>
            <w:r w:rsidRPr="005F4634">
              <w:rPr>
                <w:rFonts w:ascii="Calibri" w:eastAsia="SimSun" w:hAnsi="Calibri" w:cs="Calibri"/>
                <w:color w:val="00000A"/>
                <w:sz w:val="22"/>
                <w:szCs w:val="22"/>
              </w:rPr>
              <w:t xml:space="preserve"> Database (Water Footprint Network) and IBNET (the International Benchmarking Network for Water and Sanitation Utilities). The System of Environmental-Economic Accounting (SEEA, 2012) will provide robust withdrawal and consumption based statistics in the medium-term but is currently only being compiled by a select number of countries.</w:t>
            </w:r>
          </w:p>
          <w:p w:rsidR="005F4634" w:rsidRPr="005F4634" w:rsidRDefault="005F4634" w:rsidP="005F4634">
            <w:pPr>
              <w:suppressAutoHyphens/>
              <w:spacing w:after="120" w:line="276" w:lineRule="auto"/>
              <w:rPr>
                <w:rFonts w:ascii="Calibri" w:eastAsia="SimSun" w:hAnsi="Calibri" w:cs="Calibri"/>
                <w:color w:val="00000A"/>
                <w:sz w:val="22"/>
                <w:szCs w:val="22"/>
              </w:rPr>
            </w:pPr>
            <w:r w:rsidRPr="005F4634">
              <w:rPr>
                <w:rFonts w:ascii="Calibri" w:eastAsia="SimSun" w:hAnsi="Calibri" w:cs="Calibri"/>
                <w:color w:val="00000A"/>
                <w:sz w:val="22"/>
                <w:szCs w:val="22"/>
              </w:rPr>
              <w:t>Modeled data could be used to fill in gaps while capacity is being developed, so that the indicator could be calculated for all countries immediately.</w:t>
            </w:r>
          </w:p>
        </w:tc>
      </w:tr>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t>Disaggregation</w:t>
            </w:r>
          </w:p>
        </w:tc>
        <w:tc>
          <w:tcPr>
            <w:tcW w:w="7850" w:type="dxa"/>
          </w:tcPr>
          <w:p w:rsidR="005F4634" w:rsidRPr="005F4634" w:rsidRDefault="005F4634" w:rsidP="005F4634">
            <w:pPr>
              <w:suppressAutoHyphens/>
              <w:spacing w:after="120" w:line="276" w:lineRule="auto"/>
              <w:rPr>
                <w:rFonts w:ascii="Calibri" w:hAnsi="Calibri"/>
                <w:sz w:val="22"/>
                <w:szCs w:val="22"/>
                <w:highlight w:val="yellow"/>
              </w:rPr>
            </w:pPr>
            <w:r w:rsidRPr="005F4634">
              <w:rPr>
                <w:rFonts w:ascii="Calibri" w:hAnsi="Calibri"/>
                <w:sz w:val="22"/>
                <w:szCs w:val="22"/>
              </w:rPr>
              <w:t xml:space="preserve">The indicator covers the agricultural, municipal, industrial, and energy sectors. Although it would be difficult to disaggregate the indicator to catchment or subnational scales, the calculations and methods provided as part of indicator development could be replicated by countries or water management organizations to provide similar data at a smaller scale. </w:t>
            </w:r>
          </w:p>
        </w:tc>
      </w:tr>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t>Comments and limitations</w:t>
            </w:r>
          </w:p>
        </w:tc>
        <w:tc>
          <w:tcPr>
            <w:tcW w:w="7850" w:type="dxa"/>
          </w:tcPr>
          <w:p w:rsidR="005F4634" w:rsidRPr="005F4634" w:rsidRDefault="005F4634" w:rsidP="005F4634">
            <w:pPr>
              <w:suppressAutoHyphens/>
              <w:spacing w:after="120" w:line="276" w:lineRule="auto"/>
              <w:rPr>
                <w:rFonts w:ascii="Calibri" w:hAnsi="Calibri"/>
                <w:sz w:val="22"/>
                <w:szCs w:val="22"/>
              </w:rPr>
            </w:pPr>
            <w:r w:rsidRPr="005F4634">
              <w:rPr>
                <w:rFonts w:ascii="Calibri" w:hAnsi="Calibri"/>
                <w:sz w:val="22"/>
                <w:szCs w:val="22"/>
              </w:rPr>
              <w:t xml:space="preserve">Because it is a composite indicator, some changes in its value may be due not to changes in sectoral efficiencies but in changes in the overall share of water use by different sectors. </w:t>
            </w:r>
          </w:p>
        </w:tc>
      </w:tr>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t>Gender equality issues</w:t>
            </w:r>
          </w:p>
        </w:tc>
        <w:tc>
          <w:tcPr>
            <w:tcW w:w="7850" w:type="dxa"/>
          </w:tcPr>
          <w:p w:rsidR="005F4634" w:rsidRPr="005F4634" w:rsidRDefault="005F4634" w:rsidP="005F4634">
            <w:pPr>
              <w:suppressAutoHyphens/>
              <w:spacing w:after="200" w:line="276" w:lineRule="auto"/>
              <w:rPr>
                <w:rFonts w:ascii="Calibri" w:hAnsi="Calibri"/>
                <w:sz w:val="22"/>
                <w:szCs w:val="22"/>
              </w:rPr>
            </w:pPr>
            <w:r w:rsidRPr="005F4634">
              <w:rPr>
                <w:rFonts w:ascii="Calibri" w:eastAsia="SimSun" w:hAnsi="Calibri" w:cs="Calibri"/>
                <w:color w:val="00000A"/>
                <w:sz w:val="22"/>
                <w:szCs w:val="22"/>
              </w:rPr>
              <w:t>(blank)</w:t>
            </w:r>
          </w:p>
        </w:tc>
      </w:tr>
      <w:tr w:rsidR="005F4634" w:rsidRPr="005F4634" w:rsidTr="00CB74FD">
        <w:tc>
          <w:tcPr>
            <w:tcW w:w="1614" w:type="dxa"/>
          </w:tcPr>
          <w:p w:rsidR="005F4634" w:rsidRPr="005F4634" w:rsidRDefault="005F4634" w:rsidP="005F4634">
            <w:pPr>
              <w:suppressAutoHyphens/>
              <w:spacing w:after="200" w:line="276" w:lineRule="auto"/>
              <w:rPr>
                <w:rFonts w:ascii="Calibri" w:eastAsia="SimSun" w:hAnsi="Calibri" w:cs="Calibri"/>
                <w:b/>
                <w:color w:val="00000A"/>
                <w:sz w:val="22"/>
                <w:szCs w:val="22"/>
              </w:rPr>
            </w:pPr>
            <w:r w:rsidRPr="005F4634">
              <w:rPr>
                <w:rFonts w:ascii="Calibri" w:hAnsi="Calibri"/>
                <w:b/>
                <w:sz w:val="22"/>
                <w:szCs w:val="22"/>
              </w:rPr>
              <w:t>Data for global and regional monitoring</w:t>
            </w:r>
          </w:p>
        </w:tc>
        <w:tc>
          <w:tcPr>
            <w:tcW w:w="7850" w:type="dxa"/>
          </w:tcPr>
          <w:p w:rsidR="005F4634" w:rsidRPr="005F4634" w:rsidRDefault="005F4634" w:rsidP="005F4634">
            <w:pPr>
              <w:suppressAutoHyphens/>
              <w:spacing w:after="120" w:line="276" w:lineRule="auto"/>
              <w:rPr>
                <w:rFonts w:ascii="Calibri" w:eastAsia="SimSun" w:hAnsi="Calibri" w:cs="Calibri"/>
                <w:color w:val="00000A"/>
                <w:sz w:val="22"/>
                <w:szCs w:val="22"/>
              </w:rPr>
            </w:pPr>
            <w:r w:rsidRPr="005F4634">
              <w:rPr>
                <w:rFonts w:ascii="Calibri" w:eastAsia="SimSun" w:hAnsi="Calibri" w:cs="Calibri"/>
                <w:color w:val="00000A"/>
                <w:sz w:val="22"/>
                <w:szCs w:val="22"/>
              </w:rPr>
              <w:t xml:space="preserve">A partial monitoring framework is in place, currently being finalized under the Global Expanded Water Monitoring Initiative (GEMI). </w:t>
            </w:r>
          </w:p>
          <w:p w:rsidR="005F4634" w:rsidRPr="005F4634" w:rsidRDefault="005F4634" w:rsidP="005F4634">
            <w:pPr>
              <w:suppressAutoHyphens/>
              <w:spacing w:after="120" w:line="276" w:lineRule="auto"/>
              <w:rPr>
                <w:rFonts w:ascii="Calibri" w:eastAsia="SimSun" w:hAnsi="Calibri" w:cs="Calibri"/>
                <w:color w:val="00000A"/>
                <w:sz w:val="22"/>
                <w:szCs w:val="22"/>
              </w:rPr>
            </w:pPr>
            <w:r w:rsidRPr="005F4634">
              <w:rPr>
                <w:rFonts w:ascii="Calibri" w:eastAsia="SimSun" w:hAnsi="Calibri" w:cs="Calibri"/>
                <w:color w:val="00000A"/>
                <w:sz w:val="22"/>
                <w:szCs w:val="22"/>
              </w:rPr>
              <w:t xml:space="preserve">Data on efficiency are available at the country level other than water withdrawal. FAO-AQUASTAT can provide withdrawal data for all countries across sectors (other than energy).  Setting the energy withdrawal baseline for the year 2015 would be possible making several assumptions. </w:t>
            </w:r>
          </w:p>
          <w:p w:rsidR="005F4634" w:rsidRPr="005F4634" w:rsidRDefault="005F4634" w:rsidP="005F4634">
            <w:pPr>
              <w:suppressAutoHyphens/>
              <w:spacing w:after="120" w:line="276" w:lineRule="auto"/>
              <w:rPr>
                <w:rFonts w:ascii="Calibri" w:eastAsia="SimSun" w:hAnsi="Calibri" w:cs="Calibri"/>
                <w:color w:val="00000A"/>
                <w:sz w:val="22"/>
                <w:szCs w:val="22"/>
                <w:highlight w:val="yellow"/>
              </w:rPr>
            </w:pPr>
            <w:r w:rsidRPr="005F4634">
              <w:rPr>
                <w:rFonts w:ascii="Calibri" w:eastAsia="SimSun" w:hAnsi="Calibri" w:cs="Calibri"/>
                <w:color w:val="00000A"/>
                <w:sz w:val="22"/>
                <w:szCs w:val="22"/>
              </w:rPr>
              <w:t>The System of Environmental-Economic Accounting (SEEA, 2012) will provide robust withdrawal and consumption-based statistics in the medium-term.</w:t>
            </w:r>
          </w:p>
        </w:tc>
      </w:tr>
      <w:tr w:rsidR="005F4634" w:rsidRPr="005F4634" w:rsidTr="00CB74FD">
        <w:tc>
          <w:tcPr>
            <w:tcW w:w="1614" w:type="dxa"/>
          </w:tcPr>
          <w:p w:rsidR="005F4634" w:rsidRPr="005F4634" w:rsidRDefault="005F4634" w:rsidP="005F4634">
            <w:pPr>
              <w:suppressAutoHyphens/>
              <w:spacing w:after="200" w:line="276" w:lineRule="auto"/>
              <w:rPr>
                <w:rFonts w:ascii="Calibri" w:hAnsi="Calibri"/>
                <w:b/>
                <w:sz w:val="22"/>
                <w:szCs w:val="22"/>
              </w:rPr>
            </w:pPr>
            <w:r w:rsidRPr="005F4634">
              <w:rPr>
                <w:rFonts w:ascii="Calibri" w:hAnsi="Calibri"/>
                <w:b/>
                <w:sz w:val="22"/>
                <w:szCs w:val="22"/>
              </w:rPr>
              <w:t>References</w:t>
            </w:r>
          </w:p>
        </w:tc>
        <w:tc>
          <w:tcPr>
            <w:tcW w:w="7850" w:type="dxa"/>
          </w:tcPr>
          <w:p w:rsidR="005F4634" w:rsidRPr="005F4634" w:rsidRDefault="005F4634" w:rsidP="005F4634">
            <w:pPr>
              <w:suppressAutoHyphens/>
              <w:spacing w:after="200" w:line="276" w:lineRule="auto"/>
              <w:rPr>
                <w:rFonts w:ascii="Calibri" w:hAnsi="Calibri"/>
                <w:sz w:val="22"/>
                <w:szCs w:val="22"/>
              </w:rPr>
            </w:pPr>
            <w:r w:rsidRPr="005F4634">
              <w:rPr>
                <w:rFonts w:ascii="Calibri" w:hAnsi="Calibri"/>
                <w:sz w:val="22"/>
                <w:szCs w:val="22"/>
              </w:rPr>
              <w:t xml:space="preserve">Food And Agricultural Organization Of The United Nations. AQUASTAT. FAO's Global Information System on Water and Agriculture. Rome. Website </w:t>
            </w:r>
            <w:hyperlink r:id="rId11" w:history="1">
              <w:r w:rsidRPr="005F4634">
                <w:rPr>
                  <w:rFonts w:ascii="Calibri" w:hAnsi="Calibri"/>
                  <w:color w:val="17BBFD"/>
                  <w:sz w:val="22"/>
                  <w:szCs w:val="22"/>
                  <w:u w:val="single"/>
                </w:rPr>
                <w:t>http://www.fao.org/nr/aquastat</w:t>
              </w:r>
            </w:hyperlink>
            <w:r w:rsidRPr="005F4634">
              <w:rPr>
                <w:rFonts w:ascii="Calibri" w:hAnsi="Calibri"/>
                <w:sz w:val="22"/>
                <w:szCs w:val="22"/>
              </w:rPr>
              <w:t xml:space="preserve">. The following resources of specific interest to this indicator are available on this site: </w:t>
            </w:r>
          </w:p>
          <w:p w:rsidR="005F4634" w:rsidRPr="005F4634" w:rsidRDefault="005F4634" w:rsidP="005F4634">
            <w:pPr>
              <w:numPr>
                <w:ilvl w:val="0"/>
                <w:numId w:val="3"/>
              </w:numPr>
              <w:suppressAutoHyphens/>
              <w:spacing w:after="200" w:line="276" w:lineRule="auto"/>
              <w:contextualSpacing/>
              <w:rPr>
                <w:rFonts w:ascii="Calibri" w:hAnsi="Calibri"/>
                <w:sz w:val="22"/>
                <w:szCs w:val="22"/>
                <w:lang w:val="it-IT"/>
              </w:rPr>
            </w:pPr>
            <w:r w:rsidRPr="005F4634">
              <w:rPr>
                <w:rFonts w:ascii="Calibri" w:hAnsi="Calibri"/>
                <w:sz w:val="22"/>
                <w:szCs w:val="22"/>
                <w:lang w:val="it-IT"/>
              </w:rPr>
              <w:t>AQUASTAT glossary (</w:t>
            </w:r>
            <w:hyperlink r:id="rId12" w:history="1">
              <w:r w:rsidRPr="005F4634">
                <w:rPr>
                  <w:rFonts w:ascii="Calibri" w:hAnsi="Calibri"/>
                  <w:color w:val="17BBFD"/>
                  <w:sz w:val="22"/>
                  <w:szCs w:val="22"/>
                  <w:u w:val="single"/>
                  <w:lang w:val="it-IT"/>
                </w:rPr>
                <w:t>http://www.fao.org/nr/water/aquastat/data/glossary/search.html</w:t>
              </w:r>
            </w:hyperlink>
            <w:r w:rsidRPr="005F4634">
              <w:rPr>
                <w:rFonts w:ascii="Calibri" w:hAnsi="Calibri"/>
                <w:sz w:val="22"/>
                <w:szCs w:val="22"/>
                <w:lang w:val="it-IT"/>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2"/>
                <w:szCs w:val="22"/>
              </w:rPr>
            </w:pPr>
            <w:r w:rsidRPr="005F4634">
              <w:rPr>
                <w:rFonts w:ascii="Calibri" w:hAnsi="Calibri"/>
                <w:sz w:val="22"/>
                <w:szCs w:val="22"/>
              </w:rPr>
              <w:t>AQUASTAT Main database (</w:t>
            </w:r>
            <w:hyperlink r:id="rId13" w:history="1">
              <w:r w:rsidRPr="005F4634">
                <w:rPr>
                  <w:rFonts w:ascii="Calibri" w:eastAsia="SimSun" w:hAnsi="Calibri" w:cs="Calibri"/>
                  <w:color w:val="17BBFD"/>
                  <w:sz w:val="22"/>
                  <w:szCs w:val="22"/>
                  <w:u w:val="single"/>
                </w:rPr>
                <w:t>http://www.fao.org/nr/water/aquastat/data/query/index.html?lang=en</w:t>
              </w:r>
            </w:hyperlink>
            <w:r w:rsidRPr="005F4634">
              <w:rPr>
                <w:rFonts w:ascii="Calibri" w:hAnsi="Calibri"/>
                <w:sz w:val="22"/>
                <w:szCs w:val="22"/>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2"/>
                <w:szCs w:val="22"/>
              </w:rPr>
            </w:pPr>
            <w:r w:rsidRPr="005F4634">
              <w:rPr>
                <w:rFonts w:ascii="Calibri" w:hAnsi="Calibri"/>
                <w:sz w:val="22"/>
                <w:szCs w:val="22"/>
              </w:rPr>
              <w:lastRenderedPageBreak/>
              <w:t>AQUASTAT Water use (</w:t>
            </w:r>
            <w:hyperlink r:id="rId14" w:history="1">
              <w:r w:rsidRPr="005F4634">
                <w:rPr>
                  <w:rFonts w:ascii="Calibri" w:hAnsi="Calibri"/>
                  <w:color w:val="17BBFD"/>
                  <w:sz w:val="22"/>
                  <w:szCs w:val="22"/>
                  <w:u w:val="single"/>
                </w:rPr>
                <w:t>http://www.fao.org/nr/water/aquastat/water_use/index.stm</w:t>
              </w:r>
            </w:hyperlink>
            <w:r w:rsidRPr="005F4634">
              <w:rPr>
                <w:rFonts w:ascii="Calibri" w:hAnsi="Calibri"/>
                <w:sz w:val="22"/>
                <w:szCs w:val="22"/>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2"/>
                <w:szCs w:val="22"/>
              </w:rPr>
            </w:pPr>
            <w:r w:rsidRPr="005F4634">
              <w:rPr>
                <w:rFonts w:ascii="Calibri" w:hAnsi="Calibri"/>
                <w:sz w:val="22"/>
                <w:szCs w:val="22"/>
              </w:rPr>
              <w:t>AQUASTAT Water resources (</w:t>
            </w:r>
            <w:hyperlink r:id="rId15" w:history="1">
              <w:r w:rsidRPr="005F4634">
                <w:rPr>
                  <w:rFonts w:ascii="Calibri" w:hAnsi="Calibri"/>
                  <w:color w:val="17BBFD"/>
                  <w:sz w:val="22"/>
                  <w:szCs w:val="22"/>
                  <w:u w:val="single"/>
                </w:rPr>
                <w:t>http://www.fao.org/nr/water/aquastat/water_res/index.stm</w:t>
              </w:r>
            </w:hyperlink>
            <w:r w:rsidRPr="005F4634">
              <w:rPr>
                <w:rFonts w:ascii="Calibri" w:hAnsi="Calibri"/>
                <w:sz w:val="22"/>
                <w:szCs w:val="22"/>
              </w:rPr>
              <w:t xml:space="preserve">). </w:t>
            </w:r>
          </w:p>
          <w:p w:rsidR="005F4634" w:rsidRPr="005F4634" w:rsidRDefault="005F4634" w:rsidP="005F4634">
            <w:pPr>
              <w:numPr>
                <w:ilvl w:val="0"/>
                <w:numId w:val="3"/>
              </w:numPr>
              <w:suppressAutoHyphens/>
              <w:spacing w:after="200" w:line="276" w:lineRule="auto"/>
              <w:contextualSpacing/>
              <w:rPr>
                <w:rFonts w:ascii="Calibri" w:hAnsi="Calibri"/>
                <w:sz w:val="22"/>
                <w:szCs w:val="22"/>
              </w:rPr>
            </w:pPr>
            <w:r w:rsidRPr="005F4634">
              <w:rPr>
                <w:rFonts w:ascii="Calibri" w:hAnsi="Calibri"/>
                <w:sz w:val="22"/>
                <w:szCs w:val="22"/>
              </w:rPr>
              <w:t xml:space="preserve">AQUASTAT (2012) “Disambiguation of water statistics”, available at </w:t>
            </w:r>
            <w:hyperlink r:id="rId16" w:history="1">
              <w:r w:rsidRPr="005F4634">
                <w:rPr>
                  <w:rFonts w:ascii="Calibri" w:hAnsi="Calibri"/>
                  <w:color w:val="17BBFD"/>
                  <w:sz w:val="22"/>
                  <w:szCs w:val="22"/>
                  <w:u w:val="single"/>
                </w:rPr>
                <w:t>http://www.fao.org/nr/water/aquastat/catalogues/Water_Terminology_20120523.pdf</w:t>
              </w:r>
            </w:hyperlink>
            <w:r w:rsidRPr="005F4634">
              <w:rPr>
                <w:rFonts w:ascii="Calibri" w:hAnsi="Calibri"/>
                <w:sz w:val="22"/>
                <w:szCs w:val="22"/>
              </w:rPr>
              <w:t>.</w:t>
            </w:r>
          </w:p>
          <w:p w:rsidR="005F4634" w:rsidRPr="005F4634" w:rsidRDefault="005F4634" w:rsidP="005F4634">
            <w:pPr>
              <w:suppressAutoHyphens/>
              <w:spacing w:after="120" w:line="276" w:lineRule="auto"/>
              <w:rPr>
                <w:rFonts w:ascii="Calibri" w:hAnsi="Calibri"/>
                <w:sz w:val="22"/>
                <w:szCs w:val="22"/>
              </w:rPr>
            </w:pPr>
          </w:p>
          <w:p w:rsidR="005F4634" w:rsidRPr="005F4634" w:rsidRDefault="005F4634" w:rsidP="005F4634">
            <w:pPr>
              <w:suppressAutoHyphens/>
              <w:spacing w:after="120" w:line="276" w:lineRule="auto"/>
              <w:rPr>
                <w:rFonts w:ascii="Calibri" w:hAnsi="Calibri"/>
                <w:sz w:val="22"/>
                <w:szCs w:val="22"/>
              </w:rPr>
            </w:pPr>
            <w:r w:rsidRPr="005F4634">
              <w:rPr>
                <w:rFonts w:ascii="Calibri" w:hAnsi="Calibri"/>
                <w:sz w:val="22"/>
                <w:szCs w:val="22"/>
              </w:rPr>
              <w:t>System of Environmental Economic Accounting (SEEA) (2012) System of Environmental- Economic Accounting. Department of Economic and Social Affairs, Statistics Division.</w:t>
            </w:r>
          </w:p>
          <w:p w:rsidR="005F4634" w:rsidRPr="005F4634" w:rsidRDefault="005F4634" w:rsidP="005F4634">
            <w:pPr>
              <w:suppressAutoHyphens/>
              <w:spacing w:after="120" w:line="276" w:lineRule="auto"/>
              <w:rPr>
                <w:rFonts w:ascii="Calibri" w:hAnsi="Calibri"/>
                <w:sz w:val="22"/>
                <w:szCs w:val="22"/>
                <w:highlight w:val="yellow"/>
              </w:rPr>
            </w:pPr>
            <w:r w:rsidRPr="005F4634">
              <w:rPr>
                <w:rFonts w:ascii="Calibri" w:hAnsi="Calibri"/>
                <w:sz w:val="22"/>
                <w:szCs w:val="22"/>
              </w:rPr>
              <w:t>System of Environmental Economic Accounting for Water (SEEA-Water) (2007) System of Environmental- Economic Accounting for Water. Department of Economic and Social Affairs, Statistics Division.</w:t>
            </w:r>
          </w:p>
        </w:tc>
      </w:tr>
    </w:tbl>
    <w:p w:rsidR="0035634B" w:rsidRPr="005F4634" w:rsidRDefault="0035634B" w:rsidP="005F4634">
      <w:pPr>
        <w:spacing w:line="276" w:lineRule="auto"/>
        <w:ind w:right="-285"/>
        <w:jc w:val="both"/>
        <w:rPr>
          <w:rFonts w:ascii="Calibri" w:eastAsia="SimSun" w:hAnsi="Calibri" w:cs="Calibri"/>
          <w:b/>
          <w:bCs/>
          <w:color w:val="00000A"/>
          <w:sz w:val="28"/>
          <w:szCs w:val="28"/>
        </w:rPr>
      </w:pPr>
      <w:bookmarkStart w:id="2" w:name="_GoBack"/>
      <w:bookmarkEnd w:id="2"/>
    </w:p>
    <w:sectPr w:rsidR="0035634B" w:rsidRPr="005F4634">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tantia">
    <w:panose1 w:val="02030602050306030303"/>
    <w:charset w:val="00"/>
    <w:family w:val="roman"/>
    <w:pitch w:val="variable"/>
    <w:sig w:usb0="A00002EF" w:usb1="4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80058"/>
    <w:multiLevelType w:val="hybridMultilevel"/>
    <w:tmpl w:val="C344B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2C568D6"/>
    <w:multiLevelType w:val="hybridMultilevel"/>
    <w:tmpl w:val="37FC3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5AB429A"/>
    <w:multiLevelType w:val="hybridMultilevel"/>
    <w:tmpl w:val="843A4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48F7E11"/>
    <w:multiLevelType w:val="hybridMultilevel"/>
    <w:tmpl w:val="4184F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EE315FF"/>
    <w:multiLevelType w:val="hybridMultilevel"/>
    <w:tmpl w:val="38687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634"/>
    <w:rsid w:val="0035634B"/>
    <w:rsid w:val="00374D74"/>
    <w:rsid w:val="005F4634"/>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39"/>
    <w:rsid w:val="005F4634"/>
    <w:rPr>
      <w:rFonts w:ascii="Constantia" w:eastAsia="Times New Roman" w:hAnsi="Constantia"/>
      <w:color w:val="aut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table" w:styleId="TableGrid">
    <w:name w:val="Table Grid"/>
    <w:basedOn w:val="TableNormal"/>
    <w:uiPriority w:val="39"/>
    <w:rsid w:val="005F4634"/>
    <w:rPr>
      <w:rFonts w:ascii="Constantia" w:eastAsia="Times New Roman" w:hAnsi="Constantia"/>
      <w:color w:val="aut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nr/water/aquastat/water_res/index.stm" TargetMode="External"/><Relationship Id="rId13" Type="http://schemas.openxmlformats.org/officeDocument/2006/relationships/hyperlink" Target="http://www.fao.org/nr/water/aquastat/data/query/index.html?lang=en"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fao.org/nr/water/aquastat/water_use/index.stm" TargetMode="External"/><Relationship Id="rId12" Type="http://schemas.openxmlformats.org/officeDocument/2006/relationships/hyperlink" Target="http://www.fao.org/nr/water/aquastat/data/glossary/search.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fao.org/nr/water/aquastat/catalogues/Water_Terminology_20120523.pdf" TargetMode="External"/><Relationship Id="rId1" Type="http://schemas.openxmlformats.org/officeDocument/2006/relationships/numbering" Target="numbering.xml"/><Relationship Id="rId6" Type="http://schemas.openxmlformats.org/officeDocument/2006/relationships/hyperlink" Target="http://www.fao.org/nr/aquastat" TargetMode="External"/><Relationship Id="rId11" Type="http://schemas.openxmlformats.org/officeDocument/2006/relationships/hyperlink" Target="http://www.fao.org/nr/aquastat" TargetMode="External"/><Relationship Id="rId5" Type="http://schemas.openxmlformats.org/officeDocument/2006/relationships/webSettings" Target="webSettings.xml"/><Relationship Id="rId15" Type="http://schemas.openxmlformats.org/officeDocument/2006/relationships/hyperlink" Target="http://www.fao.org/nr/water/aquastat/water_res/index.stm" TargetMode="External"/><Relationship Id="rId10" Type="http://schemas.openxmlformats.org/officeDocument/2006/relationships/hyperlink" Target="http://www.iwmi.cgiar.org/resources/models-and-software/environmental-flow-calculators/" TargetMode="External"/><Relationship Id="rId4" Type="http://schemas.openxmlformats.org/officeDocument/2006/relationships/settings" Target="settings.xml"/><Relationship Id="rId9" Type="http://schemas.openxmlformats.org/officeDocument/2006/relationships/hyperlink" Target="http://waterdata.iwmi.org/apps/flow_management_classes/" TargetMode="External"/><Relationship Id="rId14" Type="http://schemas.openxmlformats.org/officeDocument/2006/relationships/hyperlink" Target="http://www.fao.org/nr/water/aquastat/water_use/index.s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4014</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26847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2015-09-22T13:30:00Z</dcterms:created>
  <dcterms:modified xsi:type="dcterms:W3CDTF">2015-09-22T13:30:00Z</dcterms:modified>
</cp:coreProperties>
</file>